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8640"/>
        </w:tabs>
        <w:jc w:val="both"/>
        <w:rPr>
          <w:b/>
          <w:sz w:val="24"/>
          <w:lang w:val="en-US"/>
        </w:rPr>
      </w:pPr>
      <w: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形状 2" o:spid="_x0000_s1026" o:spt="100" style="position:absolute;left:0pt;margin-left:0pt;margin-top:0pt;height:0.05pt;width:0.05pt;z-index:251659264;mso-width-relative:page;mso-height-relative:page;" fillcolor="#FFFFFF" filled="t" stroked="t" coordsize="21600,21600" o:gfxdata="UEsDBAoAAAAAAIdO4kAAAAAAAAAAAAAAAAAEAAAAZHJzL1BLAwQUAAAACACHTuJAB3JgL9AAAAD/&#10;AAAADwAAAGRycy9kb3ducmV2LnhtbE2PQWvCQBCF7wX/wzJCb3WTHqSk2QgtVIp4aK0evI3ZMQnZ&#10;nY3ZjbH/vquXenkwvMd73+SLizXiTL1vHCtIZwkI4tLphisF25+PpxcQPiBrNI5JwS95WBSThxwz&#10;7Ub+pvMmVCKWsM9QQR1Cl0npy5os+pnriKN3dL3FEM++krrHMZZbI5+TZC4tNhwXauzovaay3QxW&#10;wbDXeFym465925v1V1vNP+VppdTjNE1eQQS6hP8wXPEjOhSR6eAG1l4YBfGRcNObJw7XhCxyec9d&#10;/AFQSwMEFAAAAAgAh07iQAcYDaShBAAA6QwAAA4AAABkcnMvZTJvRG9jLnhtbK1X3W7kNBS+R+Id&#10;rFwisRM7/6NOV0urIqQFVtrhATz5mUQkcbAznXavueKGey4Rz4CEVvA0LPAYfLaTaTLtlFaiF6lj&#10;fz72+b5zTs6cvbxpanKdS1WJduXQF65D8jYVWdVuV84366tPY4eonrcZr0Wbr5zbXDkvzz/+6Gzf&#10;LXMmSlFnuSQw0qrlvls5Zd93y8VCpWXecPVCdHmLxULIhvd4ldtFJvke1pt6wVw3XOyFzDop0lwp&#10;zF7aRWewKJ9iUBRFleaXIt01edtbqzKveQ+XVFl1yjk3ty2KPO2/LgqV96ReOfC0N08cgvFGPxfn&#10;Z3y5lbwrq3S4An/KFY58anjV4tCDqUvec7KT1T1TTZVKoUTRv0hFs7COGEbgBXWPuHlb8i43voBq&#10;1R1IV/+f2fSr6zeSVNnKYQ5peQPB/3z//q/vf/zwy0///PHbh99/XhI8/v7hV8I0WftOLbHnbfdG&#10;andV91qk3yrSiouSt9v8lZRiX+Y8wxWpxi9mG/SLwlay2X8pMpzFd70wvN0UstEGwQi5MfLcHuTJ&#10;b3qSYjL0AoekmNcDbZsvx23pTvWf58KY4NevVW91zTAyqmSDb2voXjQ1JP5kQTyakD1hNHTHODjA&#10;6AQW+qR8GAXKDsbi8JQtb4LyaHzKmD+DnbwZKDicCR5OWQsnsMA/aS2awB65G0rC4VAahYkfMZeA&#10;NhfPIPDCIY0O9CVTPI2S0I8fxdOpLEGcxMx/HD/V53HkVKPA9fxTKtGpTIxFySlm6VQoGgbhSeHp&#10;VCvqhdEskBC92zE+eTmGbHrTDjGLEUFKrZx1bDKkE0pnho5gpMDaZhdfAqYj/A6dzNBwX6O9IV/u&#10;ocG83j4ah28aPqbXfTidwRFlGh5NrcMvbBuckCjAuvSuKS6C4rvWNKP8rjWLKMBrcGRSteO95sDc&#10;BUOyR0EyiUnKcaTXGnGdr4VB9ZoN6sahJYTReLzGHSjdbar0s/zdfIsfIHxwbxr5Q+R2xlgSMASu&#10;XnBpPFzLLrhaSixEnqkU2sWZ5fmbtRbFod1EA1M5QbIxFoaxnR+Kjp0N/OGIpx/g0+jBA1iS2PkA&#10;65Zcy1USIt21e557EPg/3aA0mBM8+qGta2seYzP/mG9jzmfs6b7YI0DCjJTRFJJsNj8eHQXJqPlc&#10;gbqdK34XJEOth4IjZvxvdWDuyN7E+AiZHzJsoKhthojjWw7xC4ru+XXY8yySGIUYD3Pu+iBbqzGm&#10;wagSTULP6vE81eOR4+Mginz2YNTRkA0B8XTVEVqIRH3tmbzUi/SXHtNHqUNZNOCfk4iU4ZNlzR3l&#10;NaUssBXvuBQ8WFfm8qe1UDnSC6Gki9dhYKqYqRB3LYkSdZVdVXWtK5eS281FLck1R2G8Mn9D/ZzB&#10;6lYXQdSkwJTc2drMhP4M2w4Gp85gTdWjVa+rZuXEU1CNT4ZpzHQvZnu6jchu0ZdJYTtk/D7AoBTy&#10;nUP26I5Xjvpux2XukPqLFr1dQn0fAdebFz9AO4CyPl3ZTFd4m8LUyukdfNH08KLHG7bsOlltS5xk&#10;PyuteIV+sKh092buZ281vKADNiQP3bpusafvBnX3C+X8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oHAABbQ29udGVudF9UeXBlc10ueG1sUEsB&#10;AhQACgAAAAAAh07iQAAAAAAAAAAAAAAAAAYAAAAAAAAAAAAQAAAA7AUAAF9yZWxzL1BLAQIUABQA&#10;AAAIAIdO4kCKFGY80QAAAJQBAAALAAAAAAAAAAEAIAAAABAGAABfcmVscy8ucmVsc1BLAQIUAAoA&#10;AAAAAIdO4kAAAAAAAAAAAAAAAAAEAAAAAAAAAAAAEAAAAAAAAABkcnMvUEsBAhQAFAAAAAgAh07i&#10;QAdyYC/QAAAA/wAAAA8AAAAAAAAAAQAgAAAAIgAAAGRycy9kb3ducmV2LnhtbFBLAQIUABQAAAAI&#10;AIdO4kAHGA2koQQAAOkMAAAOAAAAAAAAAAEAIAAAAB8BAABkcnMvZTJvRG9jLnhtbFBLBQYAAAAA&#10;BgAGAFkBAAAy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#120                                                                  </w:t>
      </w:r>
      <w:bookmarkStart w:id="0" w:name="_GoBack"/>
      <w:r>
        <w:rPr>
          <w:rFonts w:hint="eastAsia"/>
          <w:b/>
          <w:sz w:val="24"/>
          <w:lang w:val="en-US"/>
        </w:rPr>
        <w:t>R3-233219</w:t>
      </w:r>
      <w:bookmarkEnd w:id="0"/>
    </w:p>
    <w:p>
      <w:pPr>
        <w:spacing w:after="0"/>
        <w:jc w:val="both"/>
        <w:rPr>
          <w:b/>
          <w:sz w:val="24"/>
          <w:lang w:eastAsia="zh-CN"/>
        </w:rPr>
      </w:pPr>
      <w:r>
        <w:rPr>
          <w:b/>
          <w:sz w:val="24"/>
          <w:lang w:eastAsia="zh-CN"/>
        </w:rPr>
        <w:t>May 22- May 26</w:t>
      </w:r>
      <w:r>
        <w:rPr>
          <w:b/>
          <w:sz w:val="24"/>
        </w:rPr>
        <w:t xml:space="preserve">, 2023, </w:t>
      </w:r>
      <w:r>
        <w:rPr>
          <w:rFonts w:cs="Arial"/>
          <w:b/>
          <w:bCs/>
          <w:sz w:val="24"/>
          <w:szCs w:val="24"/>
        </w:rPr>
        <w:t>Incheon, Korea</w:t>
      </w:r>
    </w:p>
    <w:p>
      <w:pPr>
        <w:spacing w:after="0"/>
        <w:jc w:val="both"/>
        <w:rPr>
          <w:rFonts w:cs="Arial"/>
          <w:bCs/>
          <w:sz w:val="24"/>
          <w:lang w:eastAsia="ja-JP"/>
        </w:rPr>
      </w:pPr>
    </w:p>
    <w:p>
      <w:pPr>
        <w:pStyle w:val="28"/>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w:t>
      </w:r>
      <w:r>
        <w:rPr>
          <w:rFonts w:eastAsia="宋体" w:cs="Arial"/>
          <w:b/>
          <w:bCs/>
          <w:sz w:val="24"/>
          <w:szCs w:val="24"/>
          <w:lang w:val="en-US" w:eastAsia="zh-CN"/>
        </w:rPr>
        <w:t>2</w:t>
      </w:r>
      <w:r>
        <w:rPr>
          <w:rFonts w:hint="eastAsia" w:eastAsia="宋体" w:cs="Arial"/>
          <w:b/>
          <w:bCs/>
          <w:sz w:val="24"/>
          <w:szCs w:val="24"/>
          <w:lang w:val="en-US" w:eastAsia="zh-CN"/>
        </w:rPr>
        <w:t>.</w:t>
      </w:r>
      <w:r>
        <w:rPr>
          <w:rFonts w:eastAsia="宋体" w:cs="Arial"/>
          <w:b/>
          <w:bCs/>
          <w:sz w:val="24"/>
          <w:szCs w:val="24"/>
          <w:lang w:val="en-US" w:eastAsia="zh-CN"/>
        </w:rPr>
        <w:t>2.2</w:t>
      </w:r>
      <w:r>
        <w:rPr>
          <w:rFonts w:hint="eastAsia" w:eastAsia="宋体" w:cs="Arial"/>
          <w:b/>
          <w:bCs/>
          <w:sz w:val="24"/>
          <w:szCs w:val="24"/>
          <w:lang w:val="en-US" w:eastAsia="zh-CN"/>
        </w:rPr>
        <w:t>.</w:t>
      </w:r>
      <w:r>
        <w:rPr>
          <w:rFonts w:eastAsia="宋体" w:cs="Arial"/>
          <w:b/>
          <w:bCs/>
          <w:sz w:val="24"/>
          <w:szCs w:val="24"/>
          <w:lang w:val="en-US" w:eastAsia="zh-CN"/>
        </w:rPr>
        <w:t>3</w:t>
      </w:r>
    </w:p>
    <w:p>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p>
    <w:p>
      <w:pPr>
        <w:tabs>
          <w:tab w:val="left" w:pos="1985"/>
        </w:tabs>
        <w:rPr>
          <w:rFonts w:eastAsia="宋体" w:cs="Arial"/>
          <w:b/>
          <w:bCs/>
          <w:color w:val="000000"/>
          <w:sz w:val="24"/>
          <w:szCs w:val="24"/>
          <w:lang w:eastAsia="zh-CN"/>
        </w:rPr>
      </w:pPr>
      <w:r>
        <w:rPr>
          <w:rFonts w:cs="Arial"/>
          <w:b/>
          <w:bCs/>
          <w:sz w:val="24"/>
          <w:lang w:val="en-US"/>
        </w:rPr>
        <w:t>Title:</w:t>
      </w:r>
      <w:r>
        <w:rPr>
          <w:rFonts w:cs="Arial"/>
          <w:b/>
          <w:bCs/>
          <w:sz w:val="24"/>
          <w:lang w:val="en-US"/>
        </w:rPr>
        <w:tab/>
      </w:r>
      <w:r>
        <w:rPr>
          <w:rFonts w:cs="Arial"/>
          <w:b/>
          <w:bCs/>
          <w:sz w:val="24"/>
          <w:lang w:val="en-US" w:eastAsia="zh-CN"/>
        </w:rPr>
        <w:t>Remaining Issues</w:t>
      </w:r>
      <w:r>
        <w:rPr>
          <w:rFonts w:cs="Arial"/>
          <w:b/>
          <w:bCs/>
          <w:sz w:val="24"/>
          <w:lang w:val="en-US"/>
        </w:rPr>
        <w:t xml:space="preserve"> on </w:t>
      </w:r>
      <w:r>
        <w:rPr>
          <w:rFonts w:hint="eastAsia" w:cs="Arial"/>
          <w:b/>
          <w:bCs/>
          <w:sz w:val="24"/>
          <w:lang w:val="en-US" w:eastAsia="zh-CN"/>
        </w:rPr>
        <w:t>AI/ML</w:t>
      </w:r>
      <w:r>
        <w:rPr>
          <w:rFonts w:cs="Arial"/>
          <w:b/>
          <w:bCs/>
          <w:sz w:val="24"/>
          <w:lang w:val="en-US" w:eastAsia="zh-CN"/>
        </w:rPr>
        <w:t xml:space="preserve"> for </w:t>
      </w:r>
      <w:r>
        <w:rPr>
          <w:rFonts w:cs="Arial"/>
          <w:b/>
          <w:bCs/>
          <w:sz w:val="24"/>
          <w:lang w:val="en-US"/>
        </w:rPr>
        <w:t>NG-RAN Energy Saving</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widowControl w:val="0"/>
        <w:spacing w:after="180"/>
        <w:contextualSpacing/>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During meeting #119, an enhanced option </w:t>
      </w:r>
      <w:r>
        <w:rPr>
          <w:rFonts w:ascii="Times New Roman" w:hAnsi="Times New Roman"/>
          <w:color w:val="000000" w:themeColor="text1"/>
          <w:lang w:eastAsia="zh-CN"/>
          <w14:textFill>
            <w14:solidFill>
              <w14:schemeClr w14:val="tx1"/>
            </w14:solidFill>
          </w14:textFill>
        </w:rPr>
        <w:t xml:space="preserve">on how to transfer Energy Cost through </w:t>
      </w:r>
      <w:r>
        <w:rPr>
          <w:rFonts w:hint="eastAsia" w:ascii="Times New Roman" w:hAnsi="Times New Roman"/>
          <w:color w:val="000000" w:themeColor="text1"/>
          <w:lang w:eastAsia="zh-CN"/>
          <w14:textFill>
            <w14:solidFill>
              <w14:schemeClr w14:val="tx1"/>
            </w14:solidFill>
          </w14:textFill>
        </w:rPr>
        <w:t>Xn</w:t>
      </w:r>
      <w:r>
        <w:rPr>
          <w:rFonts w:ascii="Times New Roman" w:hAnsi="Times New Roman"/>
          <w:color w:val="000000" w:themeColor="text1"/>
          <w:lang w:eastAsia="zh-CN"/>
          <w14:textFill>
            <w14:solidFill>
              <w14:schemeClr w14:val="tx1"/>
            </w14:solidFill>
          </w14:textFill>
        </w:rPr>
        <w:t xml:space="preserve"> </w:t>
      </w:r>
      <w:r>
        <w:rPr>
          <w:rFonts w:hint="eastAsia" w:ascii="Times New Roman" w:hAnsi="Times New Roman"/>
          <w:color w:val="000000" w:themeColor="text1"/>
          <w:lang w:eastAsia="zh-CN"/>
          <w14:textFill>
            <w14:solidFill>
              <w14:schemeClr w14:val="tx1"/>
            </w14:solidFill>
          </w14:textFill>
        </w:rPr>
        <w:t>(Option</w:t>
      </w:r>
      <w:r>
        <w:rPr>
          <w:rFonts w:ascii="Times New Roman" w:hAnsi="Times New Roman"/>
          <w:color w:val="000000" w:themeColor="text1"/>
          <w:lang w:eastAsia="zh-CN"/>
          <w14:textFill>
            <w14:solidFill>
              <w14:schemeClr w14:val="tx1"/>
            </w14:solidFill>
          </w14:textFill>
        </w:rPr>
        <w:t>-3</w:t>
      </w:r>
      <w:r>
        <w:rPr>
          <w:rFonts w:hint="eastAsia" w:ascii="Times New Roman" w:hAnsi="Times New Roman"/>
          <w:color w:val="000000" w:themeColor="text1"/>
          <w:lang w:eastAsia="zh-CN"/>
          <w14:textFill>
            <w14:solidFill>
              <w14:schemeClr w14:val="tx1"/>
            </w14:solidFill>
          </w14:textFill>
        </w:rPr>
        <w:t xml:space="preserve">a) </w:t>
      </w:r>
      <w:r>
        <w:rPr>
          <w:rFonts w:hint="eastAsia" w:ascii="Times New Roman" w:hAnsi="Times New Roman"/>
          <w:color w:val="000000" w:themeColor="text1"/>
          <w14:textFill>
            <w14:solidFill>
              <w14:schemeClr w14:val="tx1"/>
            </w14:solidFill>
          </w14:textFill>
        </w:rPr>
        <w:t>is</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proposed</w:t>
      </w:r>
      <w:r>
        <w:rPr>
          <w:rFonts w:ascii="Times New Roman" w:hAnsi="Times New Roman"/>
          <w:color w:val="000000" w:themeColor="text1"/>
          <w14:textFill>
            <w14:solidFill>
              <w14:schemeClr w14:val="tx1"/>
            </w14:solidFill>
          </w14:textFill>
        </w:rPr>
        <w:t xml:space="preserve">, and finally </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 xml:space="preserve">ot consensus on the following opinions: </w:t>
      </w:r>
    </w:p>
    <w:p>
      <w:pPr>
        <w:pStyle w:val="62"/>
        <w:widowControl w:val="0"/>
        <w:numPr>
          <w:ilvl w:val="0"/>
          <w:numId w:val="3"/>
        </w:numPr>
        <w:ind w:firstLineChars="0"/>
        <w:rPr>
          <w:rFonts w:ascii="Times New Roman" w:hAnsi="Times New Roman" w:cs="Times New Roman"/>
          <w:bCs/>
          <w:color w:val="008000"/>
          <w:sz w:val="20"/>
          <w:szCs w:val="20"/>
        </w:rPr>
      </w:pPr>
      <w:r>
        <w:rPr>
          <w:rFonts w:ascii="Times New Roman" w:hAnsi="Times New Roman" w:cs="Times New Roman"/>
          <w:bCs/>
          <w:color w:val="008000"/>
          <w:sz w:val="20"/>
          <w:szCs w:val="20"/>
        </w:rPr>
        <w:t>Introduce the metric of Energy Cost (EC) as the AI/ML metric to be shared over the Xn interface among gNBs.</w:t>
      </w:r>
    </w:p>
    <w:p>
      <w:pPr>
        <w:pStyle w:val="62"/>
        <w:widowControl w:val="0"/>
        <w:numPr>
          <w:ilvl w:val="0"/>
          <w:numId w:val="3"/>
        </w:numPr>
        <w:ind w:firstLineChars="0"/>
        <w:rPr>
          <w:rFonts w:ascii="Times New Roman" w:hAnsi="Times New Roman" w:cs="Times New Roman"/>
          <w:bCs/>
          <w:color w:val="008000"/>
          <w:sz w:val="20"/>
          <w:szCs w:val="20"/>
        </w:rPr>
      </w:pPr>
      <w:r>
        <w:rPr>
          <w:rFonts w:ascii="Times New Roman" w:hAnsi="Times New Roman" w:cs="Times New Roman"/>
          <w:bCs/>
          <w:color w:val="008000"/>
          <w:sz w:val="20"/>
          <w:szCs w:val="20"/>
        </w:rPr>
        <w:t>Adopt the below Option-3a and exchange Energy Cost (EC) upon request over the Xn interface.</w:t>
      </w:r>
    </w:p>
    <w:p>
      <w:pPr>
        <w:pStyle w:val="62"/>
        <w:widowControl w:val="0"/>
        <w:numPr>
          <w:ilvl w:val="0"/>
          <w:numId w:val="3"/>
        </w:numPr>
        <w:ind w:firstLineChars="0"/>
        <w:rPr>
          <w:rFonts w:ascii="Times New Roman" w:hAnsi="Times New Roman" w:cs="Times New Roman"/>
          <w:bCs/>
          <w:color w:val="008000"/>
          <w:sz w:val="20"/>
          <w:szCs w:val="20"/>
        </w:rPr>
      </w:pPr>
      <w:r>
        <w:rPr>
          <w:rFonts w:ascii="Times New Roman" w:hAnsi="Times New Roman" w:cs="Times New Roman"/>
          <w:bCs/>
          <w:color w:val="008000"/>
          <w:sz w:val="20"/>
          <w:szCs w:val="20"/>
        </w:rPr>
        <w:t xml:space="preserve">The metric of Energy Cost (EC) exchanged between NG-RAN </w:t>
      </w:r>
      <w:r>
        <w:rPr>
          <w:rFonts w:hint="eastAsia" w:ascii="Times New Roman" w:hAnsi="Times New Roman" w:cs="Times New Roman"/>
          <w:bCs/>
          <w:color w:val="008000"/>
          <w:sz w:val="20"/>
          <w:szCs w:val="20"/>
        </w:rPr>
        <w:t>nodes</w:t>
      </w:r>
      <w:r>
        <w:rPr>
          <w:rFonts w:ascii="Times New Roman" w:hAnsi="Times New Roman" w:cs="Times New Roman"/>
          <w:bCs/>
          <w:color w:val="008000"/>
          <w:sz w:val="20"/>
          <w:szCs w:val="20"/>
        </w:rPr>
        <w:t xml:space="preserve"> can be an inferred energy consumption related to an additional load or an actual energy consumption value from a neighboring node for either additional load or current load (The details to be further discussed). EC is a value at gNB level. </w:t>
      </w:r>
    </w:p>
    <w:p>
      <w:pPr>
        <w:tabs>
          <w:tab w:val="left" w:pos="1985"/>
        </w:tabs>
        <w:jc w:val="both"/>
        <w:rPr>
          <w:rFonts w:ascii="Times New Roman" w:hAnsi="Times New Roman"/>
          <w:i/>
          <w:iCs/>
          <w:lang w:bidi="ar"/>
        </w:rPr>
      </w:pPr>
    </w:p>
    <w:p>
      <w:pPr>
        <w:tabs>
          <w:tab w:val="left" w:pos="1985"/>
        </w:tabs>
        <w:jc w:val="both"/>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 xml:space="preserve">he details on how to define the additional load or current load needs further discussion. </w:t>
      </w:r>
    </w:p>
    <w:p>
      <w:pPr>
        <w:tabs>
          <w:tab w:val="left" w:pos="1985"/>
        </w:tabs>
        <w:jc w:val="both"/>
        <w:rPr>
          <w:rFonts w:ascii="Times New Roman" w:hAnsi="Times New Roman" w:eastAsia="宋体"/>
          <w:lang w:val="en-US" w:eastAsia="zh-CN"/>
        </w:rPr>
      </w:pPr>
      <w:r>
        <w:rPr>
          <w:rFonts w:hint="eastAsia" w:ascii="Times New Roman" w:hAnsi="Times New Roman" w:eastAsia="宋体"/>
          <w:lang w:eastAsia="zh-CN"/>
        </w:rPr>
        <w:t>A</w:t>
      </w:r>
      <w:r>
        <w:rPr>
          <w:rFonts w:ascii="Times New Roman" w:hAnsi="Times New Roman" w:eastAsia="宋体"/>
          <w:lang w:eastAsia="zh-CN"/>
        </w:rPr>
        <w:t xml:space="preserve">nd during meeting #119-bis, </w:t>
      </w:r>
      <w:r>
        <w:rPr>
          <w:rFonts w:hint="eastAsia" w:ascii="Times New Roman" w:hAnsi="Times New Roman" w:eastAsia="宋体"/>
          <w:lang w:eastAsia="zh-CN"/>
        </w:rPr>
        <w:t>some</w:t>
      </w:r>
      <w:r>
        <w:rPr>
          <w:rFonts w:ascii="Times New Roman" w:hAnsi="Times New Roman" w:eastAsia="宋体"/>
          <w:lang w:eastAsia="zh-CN"/>
        </w:rPr>
        <w:t xml:space="preserve"> discussion on </w:t>
      </w:r>
      <w:r>
        <w:rPr>
          <w:rFonts w:hint="eastAsia" w:ascii="Times New Roman" w:hAnsi="Times New Roman" w:eastAsia="宋体"/>
          <w:lang w:eastAsia="zh-CN"/>
        </w:rPr>
        <w:t>AI/ML</w:t>
      </w:r>
      <w:r>
        <w:rPr>
          <w:rFonts w:ascii="Times New Roman" w:hAnsi="Times New Roman" w:eastAsia="宋体"/>
          <w:lang w:eastAsia="zh-CN"/>
        </w:rPr>
        <w:t xml:space="preserve"> </w:t>
      </w:r>
      <w:r>
        <w:rPr>
          <w:rFonts w:hint="eastAsia" w:ascii="Times New Roman" w:hAnsi="Times New Roman" w:eastAsia="宋体"/>
          <w:lang w:eastAsia="zh-CN"/>
        </w:rPr>
        <w:t>for</w:t>
      </w:r>
      <w:r>
        <w:rPr>
          <w:rFonts w:ascii="Times New Roman" w:hAnsi="Times New Roman" w:eastAsia="宋体"/>
          <w:lang w:eastAsia="zh-CN"/>
        </w:rPr>
        <w:t xml:space="preserve"> NGR-RAN </w:t>
      </w:r>
      <w:r>
        <w:rPr>
          <w:rFonts w:hint="eastAsia" w:ascii="Times New Roman" w:hAnsi="Times New Roman" w:eastAsia="宋体"/>
          <w:lang w:eastAsia="zh-CN"/>
        </w:rPr>
        <w:t>Energy</w:t>
      </w:r>
      <w:r>
        <w:rPr>
          <w:rFonts w:ascii="Times New Roman" w:hAnsi="Times New Roman" w:eastAsia="宋体"/>
          <w:lang w:eastAsia="zh-CN"/>
        </w:rPr>
        <w:t xml:space="preserve"> </w:t>
      </w:r>
      <w:r>
        <w:rPr>
          <w:rFonts w:hint="eastAsia" w:ascii="Times New Roman" w:hAnsi="Times New Roman" w:eastAsia="宋体"/>
          <w:lang w:eastAsia="zh-CN"/>
        </w:rPr>
        <w:t>Saving</w:t>
      </w:r>
      <w:r>
        <w:rPr>
          <w:rFonts w:ascii="Times New Roman" w:hAnsi="Times New Roman" w:eastAsia="宋体"/>
          <w:lang w:eastAsia="zh-CN"/>
        </w:rPr>
        <w:t xml:space="preserve"> </w:t>
      </w:r>
      <w:r>
        <w:rPr>
          <w:rFonts w:hint="eastAsia" w:ascii="Times New Roman" w:hAnsi="Times New Roman" w:eastAsia="宋体"/>
          <w:lang w:eastAsia="zh-CN"/>
        </w:rPr>
        <w:t>use</w:t>
      </w:r>
      <w:r>
        <w:rPr>
          <w:rFonts w:ascii="Times New Roman" w:hAnsi="Times New Roman" w:eastAsia="宋体"/>
          <w:lang w:eastAsia="zh-CN"/>
        </w:rPr>
        <w:t xml:space="preserve"> </w:t>
      </w:r>
      <w:r>
        <w:rPr>
          <w:rFonts w:hint="eastAsia" w:ascii="Times New Roman" w:hAnsi="Times New Roman" w:eastAsia="宋体"/>
          <w:lang w:eastAsia="zh-CN"/>
        </w:rPr>
        <w:t>case</w:t>
      </w:r>
      <w:r>
        <w:rPr>
          <w:rFonts w:ascii="Times New Roman" w:hAnsi="Times New Roman" w:eastAsia="宋体"/>
          <w:lang w:eastAsia="zh-CN"/>
        </w:rPr>
        <w:t xml:space="preserve"> has made some progress, and conclusion listed as following</w:t>
      </w:r>
      <w:r>
        <w:rPr>
          <w:rFonts w:hint="eastAsia" w:ascii="Times New Roman" w:hAnsi="Times New Roman" w:eastAsia="宋体"/>
          <w:lang w:eastAsia="zh-CN"/>
        </w:rPr>
        <w:t>：</w:t>
      </w:r>
    </w:p>
    <w:p>
      <w:pPr>
        <w:rPr>
          <w:rFonts w:ascii="Calibri" w:hAnsi="Calibri" w:cs="Calibri"/>
          <w:b/>
          <w:bCs/>
          <w:color w:val="70AD47"/>
        </w:rPr>
      </w:pPr>
      <w:r>
        <w:rPr>
          <w:rFonts w:ascii="Calibri" w:hAnsi="Calibri" w:cs="Calibri"/>
          <w:b/>
          <w:bCs/>
          <w:color w:val="0000FF"/>
          <w:sz w:val="18"/>
        </w:rPr>
        <w:t>Encoding of the Energy Cost metric is FFS.</w:t>
      </w:r>
    </w:p>
    <w:p>
      <w:pPr>
        <w:rPr>
          <w:rFonts w:ascii="Calibri" w:hAnsi="Calibri" w:cs="Calibri"/>
          <w:b/>
          <w:bCs/>
          <w:color w:val="008000"/>
          <w:sz w:val="18"/>
        </w:rPr>
      </w:pPr>
      <w:r>
        <w:rPr>
          <w:rFonts w:hint="eastAsia" w:ascii="Calibri" w:hAnsi="Calibri" w:cs="Calibri"/>
          <w:b/>
          <w:bCs/>
          <w:color w:val="008000"/>
          <w:sz w:val="18"/>
        </w:rPr>
        <w:t>It is agreed that the Energy Cost is a node level parameter. Further EC granularities are out of scope of Rel18</w:t>
      </w:r>
      <w:r>
        <w:rPr>
          <w:rFonts w:ascii="Calibri" w:hAnsi="Calibri" w:cs="Calibri"/>
          <w:b/>
          <w:bCs/>
          <w:color w:val="008000"/>
          <w:sz w:val="18"/>
        </w:rPr>
        <w:t>.</w:t>
      </w:r>
    </w:p>
    <w:p>
      <w:pPr>
        <w:rPr>
          <w:rFonts w:ascii="Calibri" w:hAnsi="Calibri" w:cs="Calibri"/>
          <w:b/>
          <w:bCs/>
          <w:color w:val="008000"/>
          <w:sz w:val="18"/>
        </w:rPr>
      </w:pPr>
      <w:r>
        <w:rPr>
          <w:rFonts w:hint="eastAsia" w:ascii="Calibri" w:hAnsi="Calibri" w:cs="Calibri"/>
          <w:b/>
          <w:bCs/>
          <w:color w:val="008000"/>
          <w:sz w:val="18"/>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pPr>
        <w:rPr>
          <w:rFonts w:ascii="Calibri" w:hAnsi="Calibri" w:cs="Calibri"/>
          <w:bCs/>
          <w:color w:val="0000FF"/>
          <w:sz w:val="18"/>
        </w:rPr>
      </w:pPr>
      <w:r>
        <w:rPr>
          <w:rFonts w:ascii="Calibri" w:hAnsi="Calibri" w:cs="Calibri"/>
          <w:bCs/>
          <w:color w:val="0000FF"/>
          <w:sz w:val="18"/>
        </w:rPr>
        <w:t>Whether to use a new Class 1 procedure where the source NG-RAN node requests to the target NG-RAN node an estimation of the Energy Cost for an additional load and where the target NG-RAN node responds with the requested estimation of the Energy Cost</w:t>
      </w:r>
    </w:p>
    <w:p>
      <w:pPr>
        <w:ind w:left="720"/>
        <w:rPr>
          <w:rFonts w:ascii="Calibri" w:hAnsi="Calibri" w:cs="Calibri"/>
          <w:bCs/>
          <w:color w:val="0000FF"/>
          <w:sz w:val="18"/>
        </w:rPr>
      </w:pPr>
    </w:p>
    <w:p>
      <w:pPr>
        <w:rPr>
          <w:rFonts w:ascii="Calibri" w:hAnsi="Calibri" w:cs="Calibri"/>
          <w:b/>
          <w:bCs/>
          <w:color w:val="008000"/>
          <w:sz w:val="18"/>
        </w:rPr>
      </w:pPr>
      <w:r>
        <w:rPr>
          <w:rFonts w:hint="eastAsia" w:ascii="Calibri" w:hAnsi="Calibri" w:cs="Calibri"/>
          <w:b/>
          <w:bCs/>
          <w:color w:val="008000"/>
          <w:sz w:val="18"/>
        </w:rPr>
        <w:t>It is agreed to include the measured Energy Cost in the AI/ML Information Reporting Initiation and AI/ML Information Reporting procedures (name of the procedures to be further discussed)</w:t>
      </w:r>
    </w:p>
    <w:p>
      <w:pPr>
        <w:rPr>
          <w:rFonts w:ascii="Calibri" w:hAnsi="Calibri" w:cs="Calibri"/>
          <w:b/>
          <w:color w:val="0000FF"/>
          <w:sz w:val="18"/>
        </w:rPr>
      </w:pPr>
      <w:r>
        <w:rPr>
          <w:rFonts w:ascii="Calibri" w:hAnsi="Calibri" w:cs="Calibri"/>
          <w:b/>
          <w:color w:val="0000FF"/>
          <w:sz w:val="18"/>
        </w:rPr>
        <w:t>Whether this EC can only be reported after HO needs to be further discussed.</w:t>
      </w:r>
    </w:p>
    <w:p>
      <w:pPr>
        <w:tabs>
          <w:tab w:val="left" w:pos="1985"/>
        </w:tabs>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further considerations on </w:t>
      </w:r>
      <w:r>
        <w:rPr>
          <w:rFonts w:hint="eastAsia" w:ascii="Times New Roman" w:hAnsi="Times New Roman" w:eastAsia="宋体"/>
          <w:lang w:eastAsia="zh-CN"/>
        </w:rPr>
        <w:t>the</w:t>
      </w:r>
      <w:r>
        <w:rPr>
          <w:rFonts w:ascii="Times New Roman" w:hAnsi="Times New Roman" w:eastAsia="宋体"/>
          <w:lang w:eastAsia="zh-CN"/>
        </w:rPr>
        <w:t xml:space="preserve"> remaining issues on AI/ML for NG-RAN Energy Saving, on </w:t>
      </w:r>
      <w:r>
        <w:rPr>
          <w:rFonts w:hint="eastAsia" w:ascii="Times New Roman" w:hAnsi="Times New Roman" w:eastAsia="宋体"/>
          <w:lang w:eastAsia="zh-CN"/>
        </w:rPr>
        <w:t>encoding</w:t>
      </w:r>
      <w:r>
        <w:rPr>
          <w:rFonts w:ascii="Times New Roman" w:hAnsi="Times New Roman" w:eastAsia="宋体"/>
          <w:lang w:eastAsia="zh-CN"/>
        </w:rPr>
        <w:t xml:space="preserve"> of Energy </w:t>
      </w:r>
      <w:r>
        <w:rPr>
          <w:rFonts w:hint="eastAsia" w:ascii="Times New Roman" w:hAnsi="Times New Roman" w:eastAsia="宋体"/>
          <w:lang w:eastAsia="zh-CN"/>
        </w:rPr>
        <w:t>C</w:t>
      </w:r>
      <w:r>
        <w:rPr>
          <w:rFonts w:ascii="Times New Roman" w:hAnsi="Times New Roman" w:eastAsia="宋体"/>
          <w:lang w:eastAsia="zh-CN"/>
        </w:rPr>
        <w:t xml:space="preserve">ost, </w:t>
      </w:r>
      <w:r>
        <w:rPr>
          <w:rFonts w:hint="eastAsia" w:ascii="Times New Roman" w:hAnsi="Times New Roman" w:eastAsia="宋体"/>
          <w:lang w:eastAsia="zh-CN"/>
        </w:rPr>
        <w:t>t</w:t>
      </w:r>
      <w:r>
        <w:rPr>
          <w:rFonts w:ascii="Times New Roman" w:hAnsi="Times New Roman" w:eastAsia="宋体"/>
          <w:lang w:eastAsia="zh-CN"/>
        </w:rPr>
        <w:t xml:space="preserve">he procedure to exchange the information, and how to define the load and energy consumption metrics. </w:t>
      </w:r>
    </w:p>
    <w:p>
      <w:pPr>
        <w:pStyle w:val="2"/>
        <w:ind w:left="567" w:hanging="567"/>
        <w:rPr>
          <w:rFonts w:eastAsia="宋体" w:cs="Arial"/>
          <w:sz w:val="32"/>
          <w:szCs w:val="32"/>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H</w:t>
      </w:r>
      <w:r>
        <w:rPr>
          <w:rFonts w:ascii="Times New Roman" w:hAnsi="Times New Roman" w:cs="Times New Roman"/>
          <w:color w:val="000000" w:themeColor="text1"/>
          <w:kern w:val="0"/>
          <w:sz w:val="20"/>
          <w:szCs w:val="20"/>
          <w:lang w:val="en-GB"/>
          <w14:textFill>
            <w14:solidFill>
              <w14:schemeClr w14:val="tx1"/>
            </w14:solidFill>
          </w14:textFill>
        </w:rPr>
        <w:t xml:space="preserve">ow to encode the Energy Consumption is still a big issue to discuss. Some companies think it is direct and acute to transfer the actual value of the gNB’s energy consumption, others think this data is too sensitive and should use an Index as from [0…Max] to present the gNB’s energy consumption level.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In our opinion, no matter how to encode it, the Energy Consumption value can be fully understood in the same way among different network elements by different providers. Also the value should be ac</w:t>
      </w:r>
      <w:r>
        <w:rPr>
          <w:rFonts w:hint="eastAsia" w:ascii="Times New Roman" w:hAnsi="Times New Roman" w:cs="Times New Roman"/>
          <w:color w:val="000000" w:themeColor="text1"/>
          <w:kern w:val="0"/>
          <w:sz w:val="20"/>
          <w:szCs w:val="20"/>
          <w:lang w:val="en-GB"/>
          <w14:textFill>
            <w14:solidFill>
              <w14:schemeClr w14:val="tx1"/>
            </w14:solidFill>
          </w14:textFill>
        </w:rPr>
        <w:t>c</w:t>
      </w:r>
      <w:r>
        <w:rPr>
          <w:rFonts w:ascii="Times New Roman" w:hAnsi="Times New Roman" w:cs="Times New Roman"/>
          <w:color w:val="000000" w:themeColor="text1"/>
          <w:kern w:val="0"/>
          <w:sz w:val="20"/>
          <w:szCs w:val="20"/>
          <w:lang w:val="en-GB"/>
          <w14:textFill>
            <w14:solidFill>
              <w14:schemeClr w14:val="tx1"/>
            </w14:solidFill>
          </w14:textFill>
        </w:rPr>
        <w:t xml:space="preserve">urate and in real time, which can be used in time by AI/ML training and inference model.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So</w:t>
      </w:r>
      <w:r>
        <w:rPr>
          <w:rFonts w:ascii="Times New Roman" w:hAnsi="Times New Roman" w:cs="Times New Roman"/>
          <w:color w:val="000000" w:themeColor="text1"/>
          <w:kern w:val="0"/>
          <w:sz w:val="20"/>
          <w:szCs w:val="20"/>
          <w:lang w:val="en-GB"/>
          <w14:textFill>
            <w14:solidFill>
              <w14:schemeClr w14:val="tx1"/>
            </w14:solidFill>
          </w14:textFill>
        </w:rPr>
        <w:t xml:space="preserve"> we suggest to transfer the actual value of Energy Consumption between neighbouring gNB nodes, through Xn</w:t>
      </w:r>
      <w:r>
        <w:rPr>
          <w:rFonts w:hint="eastAsia" w:ascii="Times New Roman" w:hAnsi="Times New Roman" w:cs="Times New Roman"/>
          <w:color w:val="000000" w:themeColor="text1"/>
          <w:kern w:val="0"/>
          <w:sz w:val="20"/>
          <w:szCs w:val="20"/>
          <w:lang w:val="en-GB"/>
          <w14:textFill>
            <w14:solidFill>
              <w14:schemeClr w14:val="tx1"/>
            </w14:solidFill>
          </w14:textFill>
        </w:rPr>
        <w:t xml:space="preserve"> </w:t>
      </w:r>
      <w:r>
        <w:rPr>
          <w:rFonts w:ascii="Times New Roman" w:hAnsi="Times New Roman" w:cs="Times New Roman"/>
          <w:color w:val="000000" w:themeColor="text1"/>
          <w:kern w:val="0"/>
          <w:sz w:val="20"/>
          <w:szCs w:val="20"/>
          <w:lang w:val="en-GB"/>
          <w14:textFill>
            <w14:solidFill>
              <w14:schemeClr w14:val="tx1"/>
            </w14:solidFill>
          </w14:textFill>
        </w:rPr>
        <w:t>interfaces. And if index is used, the index should be defined clearly by SA5, which means there should be a unified s</w:t>
      </w:r>
      <w:r>
        <w:rPr>
          <w:rFonts w:hint="eastAsia" w:ascii="Times New Roman" w:hAnsi="Times New Roman" w:cs="Times New Roman"/>
          <w:color w:val="000000" w:themeColor="text1"/>
          <w:kern w:val="0"/>
          <w:sz w:val="20"/>
          <w:szCs w:val="20"/>
          <w:lang w:val="en-GB"/>
          <w14:textFill>
            <w14:solidFill>
              <w14:schemeClr w14:val="tx1"/>
            </w14:solidFill>
          </w14:textFill>
        </w:rPr>
        <w:t>olution</w:t>
      </w:r>
      <w:r>
        <w:rPr>
          <w:rFonts w:ascii="Times New Roman" w:hAnsi="Times New Roman" w:cs="Times New Roman"/>
          <w:color w:val="000000" w:themeColor="text1"/>
          <w:kern w:val="0"/>
          <w:sz w:val="20"/>
          <w:szCs w:val="20"/>
          <w:lang w:val="en-GB"/>
          <w14:textFill>
            <w14:solidFill>
              <w14:schemeClr w14:val="tx1"/>
            </w14:solidFill>
          </w14:textFill>
        </w:rPr>
        <w:t xml:space="preserve"> to map the Energy Consumption value into the index value.</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1: Energy Consumption (EC) </w:t>
      </w:r>
      <w:r>
        <w:rPr>
          <w:rFonts w:hint="eastAsia" w:ascii="Times New Roman" w:hAnsi="Times New Roman" w:cs="Times New Roman"/>
          <w:b/>
          <w:bCs/>
          <w:color w:val="000000" w:themeColor="text1"/>
          <w:kern w:val="0"/>
          <w:sz w:val="20"/>
          <w:szCs w:val="20"/>
          <w:lang w:val="en-GB"/>
          <w14:textFill>
            <w14:solidFill>
              <w14:schemeClr w14:val="tx1"/>
            </w14:solidFill>
          </w14:textFill>
        </w:rPr>
        <w:t>should</w:t>
      </w:r>
      <w:r>
        <w:rPr>
          <w:rFonts w:ascii="Times New Roman" w:hAnsi="Times New Roman" w:cs="Times New Roman"/>
          <w:b/>
          <w:bCs/>
          <w:color w:val="000000" w:themeColor="text1"/>
          <w:kern w:val="0"/>
          <w:sz w:val="20"/>
          <w:szCs w:val="20"/>
          <w:lang w:val="en-GB"/>
          <w14:textFill>
            <w14:solidFill>
              <w14:schemeClr w14:val="tx1"/>
            </w14:solidFill>
          </w14:textFill>
        </w:rPr>
        <w:t xml:space="preserve"> be encoded as a </w:t>
      </w:r>
      <w:r>
        <w:rPr>
          <w:rFonts w:hint="eastAsia" w:ascii="Times New Roman" w:hAnsi="Times New Roman" w:cs="Times New Roman"/>
          <w:b/>
          <w:bCs/>
          <w:color w:val="000000" w:themeColor="text1"/>
          <w:kern w:val="0"/>
          <w:sz w:val="20"/>
          <w:szCs w:val="20"/>
          <w:lang w:val="en-GB"/>
          <w14:textFill>
            <w14:solidFill>
              <w14:schemeClr w14:val="tx1"/>
            </w14:solidFill>
          </w14:textFill>
        </w:rPr>
        <w:t>unified</w:t>
      </w:r>
      <w:r>
        <w:rPr>
          <w:rFonts w:ascii="Times New Roman" w:hAnsi="Times New Roman" w:cs="Times New Roman"/>
          <w:b/>
          <w:bCs/>
          <w:color w:val="000000" w:themeColor="text1"/>
          <w:kern w:val="0"/>
          <w:sz w:val="20"/>
          <w:szCs w:val="20"/>
          <w:lang w:val="en-GB"/>
          <w14:textFill>
            <w14:solidFill>
              <w14:schemeClr w14:val="tx1"/>
            </w14:solidFill>
          </w14:textFill>
        </w:rPr>
        <w:t xml:space="preserve"> defined value, which can be fully understood in the same way among the different network elements by different providers.</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1: It is proposed to use the actual value based on the definition in TS28.552 to present Energy Consumption, or use index value which is unified defined by SA5 to present </w:t>
      </w:r>
      <w:r>
        <w:rPr>
          <w:rFonts w:hint="eastAsia" w:ascii="Times New Roman" w:hAnsi="Times New Roman" w:cs="Times New Roman"/>
          <w:b/>
          <w:bCs/>
          <w:color w:val="000000" w:themeColor="text1"/>
          <w:kern w:val="0"/>
          <w:sz w:val="20"/>
          <w:szCs w:val="20"/>
          <w:lang w:val="en-GB"/>
          <w14:textFill>
            <w14:solidFill>
              <w14:schemeClr w14:val="tx1"/>
            </w14:solidFill>
          </w14:textFill>
        </w:rPr>
        <w:t>Energy</w:t>
      </w:r>
      <w:r>
        <w:rPr>
          <w:rFonts w:ascii="Times New Roman" w:hAnsi="Times New Roman" w:cs="Times New Roman"/>
          <w:b/>
          <w:bCs/>
          <w:color w:val="000000" w:themeColor="text1"/>
          <w:kern w:val="0"/>
          <w:sz w:val="20"/>
          <w:szCs w:val="20"/>
          <w:lang w:val="en-GB"/>
          <w14:textFill>
            <w14:solidFill>
              <w14:schemeClr w14:val="tx1"/>
            </w14:solidFill>
          </w14:textFill>
        </w:rPr>
        <w:t xml:space="preserve"> Consumption.</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In previous meetings, we all agree that the energy saving aims to improve the overall energy cost in an area. When the source node begins to collect energy cost data for AI/ML </w:t>
      </w:r>
      <w:r>
        <w:rPr>
          <w:rFonts w:hint="eastAsia" w:ascii="Times New Roman" w:hAnsi="Times New Roman" w:cs="Times New Roman"/>
          <w:color w:val="000000" w:themeColor="text1"/>
          <w:kern w:val="0"/>
          <w:sz w:val="20"/>
          <w:szCs w:val="20"/>
          <w:lang w:val="en-GB"/>
          <w14:textFill>
            <w14:solidFill>
              <w14:schemeClr w14:val="tx1"/>
            </w14:solidFill>
          </w14:textFill>
        </w:rPr>
        <w:t>Training</w:t>
      </w:r>
      <w:r>
        <w:rPr>
          <w:rFonts w:ascii="Times New Roman" w:hAnsi="Times New Roman" w:cs="Times New Roman"/>
          <w:color w:val="000000" w:themeColor="text1"/>
          <w:kern w:val="0"/>
          <w:sz w:val="20"/>
          <w:szCs w:val="20"/>
          <w:lang w:val="en-GB"/>
          <w14:textFill>
            <w14:solidFill>
              <w14:schemeClr w14:val="tx1"/>
            </w14:solidFill>
          </w14:textFill>
        </w:rPr>
        <w:t xml:space="preserve"> model and AI/ML Inference model, it may request the data from neighbouring node. I</w:t>
      </w:r>
      <w:r>
        <w:rPr>
          <w:rFonts w:hint="eastAsia" w:ascii="Times New Roman" w:hAnsi="Times New Roman" w:cs="Times New Roman"/>
          <w:color w:val="000000" w:themeColor="text1"/>
          <w:kern w:val="0"/>
          <w:sz w:val="20"/>
          <w:szCs w:val="20"/>
          <w:lang w:val="en-GB"/>
          <w14:textFill>
            <w14:solidFill>
              <w14:schemeClr w14:val="tx1"/>
            </w14:solidFill>
          </w14:textFill>
        </w:rPr>
        <w:t>n</w:t>
      </w:r>
      <w:r>
        <w:rPr>
          <w:rFonts w:ascii="Times New Roman" w:hAnsi="Times New Roman" w:cs="Times New Roman"/>
          <w:color w:val="000000" w:themeColor="text1"/>
          <w:kern w:val="0"/>
          <w:sz w:val="20"/>
          <w:szCs w:val="20"/>
          <w:lang w:val="en-GB"/>
          <w14:textFill>
            <w14:solidFill>
              <w14:schemeClr w14:val="tx1"/>
            </w14:solidFill>
          </w14:textFill>
        </w:rPr>
        <w:t xml:space="preserve"> #119-bis, </w:t>
      </w:r>
      <w:r>
        <w:rPr>
          <w:rFonts w:hint="eastAsia" w:ascii="Times New Roman" w:hAnsi="Times New Roman" w:cs="Times New Roman"/>
          <w:color w:val="000000" w:themeColor="text1"/>
          <w:kern w:val="0"/>
          <w:sz w:val="20"/>
          <w:szCs w:val="20"/>
          <w:lang w:val="en-GB"/>
          <w14:textFill>
            <w14:solidFill>
              <w14:schemeClr w14:val="tx1"/>
            </w14:solidFill>
          </w14:textFill>
        </w:rPr>
        <w:t>i</w:t>
      </w:r>
      <w:r>
        <w:rPr>
          <w:rFonts w:ascii="Times New Roman" w:hAnsi="Times New Roman" w:cs="Times New Roman"/>
          <w:color w:val="000000" w:themeColor="text1"/>
          <w:kern w:val="0"/>
          <w:sz w:val="20"/>
          <w:szCs w:val="20"/>
          <w:lang w:val="en-GB"/>
          <w14:textFill>
            <w14:solidFill>
              <w14:schemeClr w14:val="tx1"/>
            </w14:solidFill>
          </w14:textFill>
        </w:rPr>
        <w:t xml:space="preserve">t was agreed to include the measured Energy Cost in the AI/ML Information Reporting Initiation and AI/ML Information Reporting procedures (name of the procedures to be further discussed). And it was agreed to work on the following assumption: </w:t>
      </w:r>
    </w:p>
    <w:p>
      <w:pPr>
        <w:rPr>
          <w:rFonts w:ascii="Calibri" w:hAnsi="Calibri" w:cs="Calibri"/>
          <w:i/>
          <w:iCs/>
          <w:color w:val="00B050"/>
          <w:kern w:val="2"/>
          <w:sz w:val="16"/>
          <w:szCs w:val="16"/>
        </w:rPr>
      </w:pPr>
      <w:r>
        <w:rPr>
          <w:rFonts w:hint="eastAsia" w:ascii="Calibri" w:hAnsi="Calibri" w:cs="Calibri"/>
          <w:i/>
          <w:iCs/>
          <w:color w:val="00B050"/>
          <w:kern w:val="2"/>
          <w:sz w:val="16"/>
          <w:szCs w:val="16"/>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Furthermore, we think the procedure can also be used to request the inferred </w:t>
      </w:r>
      <w:r>
        <w:rPr>
          <w:rFonts w:hint="eastAsia" w:ascii="Times New Roman" w:hAnsi="Times New Roman" w:cs="Times New Roman"/>
          <w:color w:val="000000" w:themeColor="text1"/>
          <w:kern w:val="0"/>
          <w:sz w:val="20"/>
          <w:szCs w:val="20"/>
          <w:lang w:val="en-GB"/>
          <w14:textFill>
            <w14:solidFill>
              <w14:schemeClr w14:val="tx1"/>
            </w14:solidFill>
          </w14:textFill>
        </w:rPr>
        <w:t>Energy</w:t>
      </w:r>
      <w:r>
        <w:rPr>
          <w:rFonts w:ascii="Times New Roman" w:hAnsi="Times New Roman" w:cs="Times New Roman"/>
          <w:color w:val="000000" w:themeColor="text1"/>
          <w:kern w:val="0"/>
          <w:sz w:val="20"/>
          <w:szCs w:val="20"/>
          <w:lang w:val="en-GB"/>
          <w14:textFill>
            <w14:solidFill>
              <w14:schemeClr w14:val="tx1"/>
            </w14:solidFill>
          </w14:textFill>
        </w:rPr>
        <w:t xml:space="preserve"> Cost, with an “additional load” as parameter in the AI/ML </w:t>
      </w:r>
      <w:r>
        <w:rPr>
          <w:rFonts w:hint="eastAsia" w:ascii="Times New Roman" w:hAnsi="Times New Roman" w:cs="Times New Roman"/>
          <w:color w:val="000000" w:themeColor="text1"/>
          <w:kern w:val="0"/>
          <w:sz w:val="20"/>
          <w:szCs w:val="20"/>
          <w:lang w:val="en-GB"/>
          <w14:textFill>
            <w14:solidFill>
              <w14:schemeClr w14:val="tx1"/>
            </w14:solidFill>
          </w14:textFill>
        </w:rPr>
        <w:t>Information</w:t>
      </w:r>
      <w:r>
        <w:rPr>
          <w:rFonts w:ascii="Times New Roman" w:hAnsi="Times New Roman" w:cs="Times New Roman"/>
          <w:color w:val="000000" w:themeColor="text1"/>
          <w:kern w:val="0"/>
          <w:sz w:val="20"/>
          <w:szCs w:val="20"/>
          <w:lang w:val="en-GB"/>
          <w14:textFill>
            <w14:solidFill>
              <w14:schemeClr w14:val="tx1"/>
            </w14:solidFill>
          </w14:textFill>
        </w:rPr>
        <w:t xml:space="preserve"> Request message and report the inferred Energy Cost in AI/ML Information Reporting message. we can expand “Report Characteristics IE” to indicate different kind of data (inferred/measured).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And sometimes </w:t>
      </w:r>
      <w:r>
        <w:rPr>
          <w:rFonts w:hint="eastAsia" w:ascii="Times New Roman" w:hAnsi="Times New Roman" w:cs="Times New Roman"/>
          <w:color w:val="000000" w:themeColor="text1"/>
          <w:kern w:val="0"/>
          <w:sz w:val="20"/>
          <w:szCs w:val="20"/>
          <w:lang w:val="en-GB"/>
          <w14:textFill>
            <w14:solidFill>
              <w14:schemeClr w14:val="tx1"/>
            </w14:solidFill>
          </w14:textFill>
        </w:rPr>
        <w:t>the</w:t>
      </w:r>
      <w:r>
        <w:rPr>
          <w:rFonts w:ascii="Times New Roman" w:hAnsi="Times New Roman" w:cs="Times New Roman"/>
          <w:color w:val="000000" w:themeColor="text1"/>
          <w:kern w:val="0"/>
          <w:sz w:val="20"/>
          <w:szCs w:val="20"/>
          <w:lang w:val="en-GB"/>
          <w14:textFill>
            <w14:solidFill>
              <w14:schemeClr w14:val="tx1"/>
            </w14:solidFill>
          </w14:textFill>
        </w:rPr>
        <w:t xml:space="preserve"> AI/ML training model needs the measured </w:t>
      </w:r>
      <w:r>
        <w:rPr>
          <w:rFonts w:hint="eastAsia" w:ascii="Times New Roman" w:hAnsi="Times New Roman" w:cs="Times New Roman"/>
          <w:color w:val="000000" w:themeColor="text1"/>
          <w:kern w:val="0"/>
          <w:sz w:val="20"/>
          <w:szCs w:val="20"/>
          <w:lang w:val="en-GB"/>
          <w14:textFill>
            <w14:solidFill>
              <w14:schemeClr w14:val="tx1"/>
            </w14:solidFill>
          </w14:textFill>
        </w:rPr>
        <w:t>Energy</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Cost</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feedback</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after</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HO,</w:t>
      </w:r>
      <w:r>
        <w:rPr>
          <w:rFonts w:ascii="Times New Roman" w:hAnsi="Times New Roman" w:cs="Times New Roman"/>
          <w:color w:val="000000" w:themeColor="text1"/>
          <w:kern w:val="0"/>
          <w:sz w:val="20"/>
          <w:szCs w:val="20"/>
          <w:lang w:val="en-GB"/>
          <w14:textFill>
            <w14:solidFill>
              <w14:schemeClr w14:val="tx1"/>
            </w14:solidFill>
          </w14:textFill>
        </w:rPr>
        <w:t xml:space="preserve"> it is also reasonable to re-use the new class 1 procedure to configure the request for Energy Consumption of neighbouring nodes, and use the class 2 procedure to report it after HO. This procedure is designed for AI/ML information exchange, we suggest to turn the WA last meeting into the following agreement.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2: </w:t>
      </w:r>
      <w:r>
        <w:rPr>
          <w:rFonts w:hint="eastAsia" w:ascii="Times New Roman" w:hAnsi="Times New Roman" w:cs="Times New Roman"/>
          <w:b/>
          <w:bCs/>
          <w:color w:val="000000" w:themeColor="text1"/>
          <w:kern w:val="0"/>
          <w:sz w:val="20"/>
          <w:szCs w:val="20"/>
          <w:lang w:val="en-GB"/>
          <w14:textFill>
            <w14:solidFill>
              <w14:schemeClr w14:val="tx1"/>
            </w14:solidFill>
          </w14:textFill>
        </w:rPr>
        <w:t>For</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AI/ML Training Model input/feedback, the source node can request inferred or measured Energy Consumption u</w:t>
      </w:r>
      <w:r>
        <w:rPr>
          <w:rFonts w:hint="eastAsia" w:ascii="Times New Roman" w:hAnsi="Times New Roman" w:cs="Times New Roman"/>
          <w:b/>
          <w:bCs/>
          <w:color w:val="000000" w:themeColor="text1"/>
          <w:kern w:val="0"/>
          <w:sz w:val="20"/>
          <w:szCs w:val="20"/>
          <w:lang w:val="en-GB"/>
          <w14:textFill>
            <w14:solidFill>
              <w14:schemeClr w14:val="tx1"/>
            </w14:solidFill>
          </w14:textFill>
        </w:rPr>
        <w:t>s</w:t>
      </w:r>
      <w:r>
        <w:rPr>
          <w:rFonts w:ascii="Times New Roman" w:hAnsi="Times New Roman" w:cs="Times New Roman"/>
          <w:b/>
          <w:bCs/>
          <w:color w:val="000000" w:themeColor="text1"/>
          <w:kern w:val="0"/>
          <w:sz w:val="20"/>
          <w:szCs w:val="20"/>
          <w:lang w:val="en-GB"/>
          <w14:textFill>
            <w14:solidFill>
              <w14:schemeClr w14:val="tx1"/>
            </w14:solidFill>
          </w14:textFill>
        </w:rPr>
        <w:t>ing</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 the already introduced AI/ML Information Reporting Initiation (Class 1 – AI/ML INFORMATION REQUEST/RESPONSE) procedure. Use the AI/ML Information Reporting (Class 2 – AI/ML INFORMATION UPDATE) procedure to allow the target NG-RAN node to report the </w:t>
      </w:r>
      <w:r>
        <w:rPr>
          <w:rFonts w:ascii="Times New Roman" w:hAnsi="Times New Roman" w:cs="Times New Roman"/>
          <w:b/>
          <w:bCs/>
          <w:color w:val="000000" w:themeColor="text1"/>
          <w:kern w:val="0"/>
          <w:sz w:val="20"/>
          <w:szCs w:val="20"/>
          <w:lang w:val="en-GB"/>
          <w14:textFill>
            <w14:solidFill>
              <w14:schemeClr w14:val="tx1"/>
            </w14:solidFill>
          </w14:textFill>
        </w:rPr>
        <w:t>inferred or measured</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 the Energy Cost (name of the procedures to be further discussed)</w:t>
      </w:r>
      <w:r>
        <w:rPr>
          <w:rFonts w:ascii="Times New Roman" w:hAnsi="Times New Roman" w:cs="Times New Roman"/>
          <w:b/>
          <w:bCs/>
          <w:color w:val="000000" w:themeColor="text1"/>
          <w:kern w:val="0"/>
          <w:sz w:val="20"/>
          <w:szCs w:val="20"/>
          <w:lang w:val="en-GB"/>
          <w14:textFill>
            <w14:solidFill>
              <w14:schemeClr w14:val="tx1"/>
            </w14:solidFill>
          </w14:textFill>
        </w:rPr>
        <w:t>. The request is triggered by AI/ML INFORMATION REQUEST, whether it happens before or after HO depends on implementation, when the source node sends out the request.</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2</w:t>
      </w:r>
      <w:r>
        <w:rPr>
          <w:rFonts w:hint="eastAsia" w:ascii="Times New Roman" w:hAnsi="Times New Roman" w:cs="Times New Roman"/>
          <w:b/>
          <w:bCs/>
          <w:color w:val="000000" w:themeColor="text1"/>
          <w:kern w:val="0"/>
          <w:sz w:val="20"/>
          <w:szCs w:val="20"/>
          <w:lang w:val="en-GB"/>
          <w14:textFill>
            <w14:solidFill>
              <w14:schemeClr w14:val="tx1"/>
            </w14:solidFill>
          </w14:textFill>
        </w:rPr>
        <w:t>：It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turn the WA into agreement: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A</w:t>
      </w:r>
      <w:r>
        <w:rPr>
          <w:rFonts w:ascii="Times New Roman" w:hAnsi="Times New Roman" w:cs="Times New Roman"/>
          <w:color w:val="000000" w:themeColor="text1"/>
          <w:kern w:val="0"/>
          <w:sz w:val="20"/>
          <w:szCs w:val="20"/>
          <w:lang w:val="en-GB"/>
          <w14:textFill>
            <w14:solidFill>
              <w14:schemeClr w14:val="tx1"/>
            </w14:solidFill>
          </w14:textFill>
        </w:rPr>
        <w:t xml:space="preserve">lso in previous meeting, both inferred and measured Energy Consumption can be supported. So we need to indicate these two kinds of Energy Consumption differently. The current “Report Characteristics IE” is easy to be extended to indicate them. In previous TP, we agree to use the fifth bit to indicate the Energy Cost. Furthermore, we suggest to use the fifth bit to indicate the </w:t>
      </w:r>
      <w:r>
        <w:rPr>
          <w:rFonts w:hint="eastAsia" w:ascii="Times New Roman" w:hAnsi="Times New Roman" w:cs="Times New Roman"/>
          <w:color w:val="000000" w:themeColor="text1"/>
          <w:kern w:val="0"/>
          <w:sz w:val="20"/>
          <w:szCs w:val="20"/>
          <w:lang w:val="en-GB"/>
          <w14:textFill>
            <w14:solidFill>
              <w14:schemeClr w14:val="tx1"/>
            </w14:solidFill>
          </w14:textFill>
        </w:rPr>
        <w:t>Inferred</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Energy</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Cos</w:t>
      </w:r>
      <w:r>
        <w:rPr>
          <w:rFonts w:ascii="Times New Roman" w:hAnsi="Times New Roman" w:cs="Times New Roman"/>
          <w:color w:val="000000" w:themeColor="text1"/>
          <w:kern w:val="0"/>
          <w:sz w:val="20"/>
          <w:szCs w:val="20"/>
          <w:lang w:val="en-GB"/>
          <w14:textFill>
            <w14:solidFill>
              <w14:schemeClr w14:val="tx1"/>
            </w14:solidFill>
          </w14:textFill>
        </w:rPr>
        <w:t>t, and use the sixth bit to indicate the measured Energy Cost.</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3: Use fifth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“inferred Energy Consumption”, use sixth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“Measured Energy Consumption”.</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Furthermore, we will continue to discuss </w:t>
      </w:r>
      <w:r>
        <w:rPr>
          <w:rFonts w:hint="eastAsia" w:ascii="Times New Roman" w:hAnsi="Times New Roman" w:cs="Times New Roman"/>
          <w:color w:val="000000" w:themeColor="text1"/>
          <w:kern w:val="0"/>
          <w:sz w:val="20"/>
          <w:szCs w:val="20"/>
          <w:lang w:val="en-GB"/>
          <w14:textFill>
            <w14:solidFill>
              <w14:schemeClr w14:val="tx1"/>
            </w14:solidFill>
          </w14:textFill>
        </w:rPr>
        <w:t>w</w:t>
      </w:r>
      <w:r>
        <w:rPr>
          <w:rFonts w:ascii="Times New Roman" w:hAnsi="Times New Roman" w:cs="Times New Roman"/>
          <w:color w:val="000000" w:themeColor="text1"/>
          <w:kern w:val="0"/>
          <w:sz w:val="20"/>
          <w:szCs w:val="20"/>
          <w:lang w:val="en-GB"/>
          <w14:textFill>
            <w14:solidFill>
              <w14:schemeClr w14:val="tx1"/>
            </w14:solidFill>
          </w14:textFill>
        </w:rPr>
        <w:t>hich of the following two options to be selected for inferred and measured EC definition:</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1) Inferred EC represents the node level EC value assuming that an additional load is served; Measured EC represents the actual node level EC value, e.g. after an additional load is transferred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2) Inferred EC represents the delta increase of the EC value assuming that an additional load is served; Measured EC represents the delta increase of the EC value after an additional load is transferred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T</w:t>
      </w:r>
      <w:r>
        <w:rPr>
          <w:rFonts w:ascii="Times New Roman" w:hAnsi="Times New Roman" w:cs="Times New Roman"/>
          <w:color w:val="000000" w:themeColor="text1"/>
          <w:kern w:val="0"/>
          <w:sz w:val="20"/>
          <w:szCs w:val="20"/>
          <w:lang w:val="en-GB"/>
          <w14:textFill>
            <w14:solidFill>
              <w14:schemeClr w14:val="tx1"/>
            </w14:solidFill>
          </w14:textFill>
        </w:rPr>
        <w:t xml:space="preserve">he option 1) can get both the </w:t>
      </w:r>
      <w:r>
        <w:rPr>
          <w:rFonts w:hint="eastAsia" w:ascii="Times New Roman" w:hAnsi="Times New Roman" w:cs="Times New Roman"/>
          <w:color w:val="000000" w:themeColor="text1"/>
          <w:kern w:val="0"/>
          <w:sz w:val="20"/>
          <w:szCs w:val="20"/>
          <w:lang w:val="en-GB"/>
          <w14:textFill>
            <w14:solidFill>
              <w14:schemeClr w14:val="tx1"/>
            </w14:solidFill>
          </w14:textFill>
        </w:rPr>
        <w:t>actual</w:t>
      </w:r>
      <w:r>
        <w:rPr>
          <w:rFonts w:ascii="Times New Roman" w:hAnsi="Times New Roman" w:cs="Times New Roman"/>
          <w:color w:val="000000" w:themeColor="text1"/>
          <w:kern w:val="0"/>
          <w:sz w:val="20"/>
          <w:szCs w:val="20"/>
          <w:lang w:val="en-GB"/>
          <w14:textFill>
            <w14:solidFill>
              <w14:schemeClr w14:val="tx1"/>
            </w14:solidFill>
          </w14:textFill>
        </w:rPr>
        <w:t xml:space="preserve"> node level EC and delta increase of the EC value after an additional load is transferred. If the AI/ML training wants to use the delta value as input, the source gNB can first request a Measured EC with no additional load, and then request a Measure EC with expected additional load. It is easy for source node to get the delta increase of the EC value introduced by the addit</w:t>
      </w:r>
      <w:r>
        <w:rPr>
          <w:rFonts w:hint="eastAsia" w:ascii="Times New Roman" w:hAnsi="Times New Roman" w:cs="Times New Roman"/>
          <w:color w:val="000000" w:themeColor="text1"/>
          <w:kern w:val="0"/>
          <w:sz w:val="20"/>
          <w:szCs w:val="20"/>
          <w:lang w:val="en-GB"/>
          <w14:textFill>
            <w14:solidFill>
              <w14:schemeClr w14:val="tx1"/>
            </w14:solidFill>
          </w14:textFill>
        </w:rPr>
        <w:t>i</w:t>
      </w:r>
      <w:r>
        <w:rPr>
          <w:rFonts w:ascii="Times New Roman" w:hAnsi="Times New Roman" w:cs="Times New Roman"/>
          <w:color w:val="000000" w:themeColor="text1"/>
          <w:kern w:val="0"/>
          <w:sz w:val="20"/>
          <w:szCs w:val="20"/>
          <w:lang w:val="en-GB"/>
          <w14:textFill>
            <w14:solidFill>
              <w14:schemeClr w14:val="tx1"/>
            </w14:solidFill>
          </w14:textFill>
        </w:rPr>
        <w:t xml:space="preserve">onal load in this way.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4: It is proposed  to use option 1: </w:t>
      </w:r>
      <w:r>
        <w:rPr>
          <w:rFonts w:ascii="Times New Roman" w:hAnsi="Times New Roman" w:cs="Times New Roman"/>
          <w:color w:val="000000" w:themeColor="text1"/>
          <w:kern w:val="0"/>
          <w:sz w:val="20"/>
          <w:szCs w:val="20"/>
          <w:lang w:val="en-GB"/>
          <w14:textFill>
            <w14:solidFill>
              <w14:schemeClr w14:val="tx1"/>
            </w14:solidFill>
          </w14:textFill>
        </w:rPr>
        <w:t>Inferred EC represents the node level EC value assuming that an additional load is served; Measured EC represents the actual node level EC value, e.g. after an additional load is transferred.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And the target node can use AI/ML Information Response to indicate whether it can or can’t provide the Energy Consumption, or it can provide a predicated </w:t>
      </w:r>
      <w:r>
        <w:rPr>
          <w:rFonts w:hint="eastAsia" w:ascii="Times New Roman" w:hAnsi="Times New Roman" w:cs="Times New Roman"/>
          <w:color w:val="000000" w:themeColor="text1"/>
          <w:kern w:val="0"/>
          <w:sz w:val="20"/>
          <w:szCs w:val="20"/>
          <w:lang w:val="en-GB"/>
          <w14:textFill>
            <w14:solidFill>
              <w14:schemeClr w14:val="tx1"/>
            </w14:solidFill>
          </w14:textFill>
        </w:rPr>
        <w:t>or</w:t>
      </w:r>
      <w:r>
        <w:rPr>
          <w:rFonts w:ascii="Times New Roman" w:hAnsi="Times New Roman" w:cs="Times New Roman"/>
          <w:color w:val="000000" w:themeColor="text1"/>
          <w:kern w:val="0"/>
          <w:sz w:val="20"/>
          <w:szCs w:val="20"/>
          <w:lang w:val="en-GB"/>
          <w14:textFill>
            <w14:solidFill>
              <w14:schemeClr w14:val="tx1"/>
            </w14:solidFill>
          </w14:textFill>
        </w:rPr>
        <w:t xml:space="preserve"> actual Energy Consumption to the source node. If can, the target node can begin to calculate the Energy Consumption, and then send it back to source node through AI/ML Information Update message.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5: The source NG-RAN node could carry the load metric for the additional load in the request message to target NG-RAN node, if it requests an inferred Energy Consumption value to serve the additional load.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drawing>
          <wp:inline distT="0" distB="0" distL="0" distR="0">
            <wp:extent cx="4883785" cy="3062605"/>
            <wp:effectExtent l="0" t="0" r="5715" b="0"/>
            <wp:docPr id="4" name="图片 4"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表格&#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92943" cy="3068148"/>
                    </a:xfrm>
                    <a:prstGeom prst="rect">
                      <a:avLst/>
                    </a:prstGeom>
                  </pic:spPr>
                </pic:pic>
              </a:graphicData>
            </a:graphic>
          </wp:inline>
        </w:drawing>
      </w:r>
    </w:p>
    <w:p>
      <w:pPr>
        <w:pStyle w:val="20"/>
        <w:spacing w:before="120" w:beforeLines="50" w:after="120" w:afterLines="50"/>
        <w:rPr>
          <w:rFonts w:ascii="Times New Roman" w:hAnsi="Times New Roman" w:cs="Times New Roman"/>
          <w:b/>
          <w:bCs/>
          <w:color w:val="000000" w:themeColor="text1"/>
          <w:kern w:val="0"/>
          <w:sz w:val="20"/>
          <w:szCs w:val="20"/>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6: </w:t>
      </w:r>
      <w:r>
        <w:rPr>
          <w:rFonts w:hint="eastAsia" w:ascii="Times New Roman" w:hAnsi="Times New Roman" w:cs="Times New Roman"/>
          <w:b/>
          <w:bCs/>
          <w:color w:val="000000" w:themeColor="text1"/>
          <w:kern w:val="0"/>
          <w:sz w:val="20"/>
          <w:szCs w:val="20"/>
          <w14:textFill>
            <w14:solidFill>
              <w14:schemeClr w14:val="tx1"/>
            </w14:solidFill>
          </w14:textFill>
        </w:rPr>
        <w:t>If request measured EC before offload, the report</w:t>
      </w:r>
      <w:r>
        <w:rPr>
          <w:rFonts w:ascii="Times New Roman" w:hAnsi="Times New Roman" w:cs="Times New Roman"/>
          <w:b/>
          <w:bCs/>
          <w:color w:val="000000" w:themeColor="text1"/>
          <w:kern w:val="0"/>
          <w:sz w:val="20"/>
          <w:szCs w:val="20"/>
          <w14:textFill>
            <w14:solidFill>
              <w14:schemeClr w14:val="tx1"/>
            </w14:solidFill>
          </w14:textFill>
        </w:rPr>
        <w:t>ed</w:t>
      </w:r>
      <w:r>
        <w:rPr>
          <w:rFonts w:hint="eastAsia" w:ascii="Times New Roman" w:hAnsi="Times New Roman" w:cs="Times New Roman"/>
          <w:b/>
          <w:bCs/>
          <w:color w:val="000000" w:themeColor="text1"/>
          <w:kern w:val="0"/>
          <w:sz w:val="20"/>
          <w:szCs w:val="20"/>
          <w14:textFill>
            <w14:solidFill>
              <w14:schemeClr w14:val="tx1"/>
            </w14:solidFill>
          </w14:textFill>
        </w:rPr>
        <w:t xml:space="preserve"> EC can be used as input for AI/ML model </w:t>
      </w:r>
      <w:r>
        <w:rPr>
          <w:rFonts w:ascii="Times New Roman" w:hAnsi="Times New Roman" w:cs="Times New Roman"/>
          <w:b/>
          <w:bCs/>
          <w:color w:val="000000" w:themeColor="text1"/>
          <w:kern w:val="0"/>
          <w:sz w:val="20"/>
          <w:szCs w:val="20"/>
          <w14:textFill>
            <w14:solidFill>
              <w14:schemeClr w14:val="tx1"/>
            </w14:solidFill>
          </w14:textFill>
        </w:rPr>
        <w:t>in source node to</w:t>
      </w:r>
      <w:r>
        <w:rPr>
          <w:rFonts w:hint="eastAsia" w:ascii="Times New Roman" w:hAnsi="Times New Roman" w:cs="Times New Roman"/>
          <w:b/>
          <w:bCs/>
          <w:color w:val="000000" w:themeColor="text1"/>
          <w:kern w:val="0"/>
          <w:sz w:val="20"/>
          <w:szCs w:val="20"/>
          <w14:textFill>
            <w14:solidFill>
              <w14:schemeClr w14:val="tx1"/>
            </w14:solidFill>
          </w14:textFill>
        </w:rPr>
        <w:t xml:space="preserve"> determin</w:t>
      </w:r>
      <w:r>
        <w:rPr>
          <w:rFonts w:ascii="Times New Roman" w:hAnsi="Times New Roman" w:cs="Times New Roman"/>
          <w:b/>
          <w:bCs/>
          <w:color w:val="000000" w:themeColor="text1"/>
          <w:kern w:val="0"/>
          <w:sz w:val="20"/>
          <w:szCs w:val="20"/>
          <w14:textFill>
            <w14:solidFill>
              <w14:schemeClr w14:val="tx1"/>
            </w14:solidFill>
          </w14:textFill>
        </w:rPr>
        <w:t>e</w:t>
      </w:r>
      <w:r>
        <w:rPr>
          <w:rFonts w:hint="eastAsia" w:ascii="Times New Roman" w:hAnsi="Times New Roman" w:cs="Times New Roman"/>
          <w:b/>
          <w:bCs/>
          <w:color w:val="000000" w:themeColor="text1"/>
          <w:kern w:val="0"/>
          <w:sz w:val="20"/>
          <w:szCs w:val="20"/>
          <w14:textFill>
            <w14:solidFill>
              <w14:schemeClr w14:val="tx1"/>
            </w14:solidFill>
          </w14:textFill>
        </w:rPr>
        <w:t xml:space="preserve"> whether source node should off load traffic to </w:t>
      </w:r>
      <w:r>
        <w:rPr>
          <w:rFonts w:ascii="Times New Roman" w:hAnsi="Times New Roman" w:cs="Times New Roman"/>
          <w:b/>
          <w:bCs/>
          <w:color w:val="000000" w:themeColor="text1"/>
          <w:kern w:val="0"/>
          <w:sz w:val="20"/>
          <w:szCs w:val="20"/>
          <w14:textFill>
            <w14:solidFill>
              <w14:schemeClr w14:val="tx1"/>
            </w14:solidFill>
          </w14:textFill>
        </w:rPr>
        <w:t xml:space="preserve">the </w:t>
      </w:r>
      <w:r>
        <w:rPr>
          <w:rFonts w:hint="eastAsia" w:ascii="Times New Roman" w:hAnsi="Times New Roman" w:cs="Times New Roman"/>
          <w:b/>
          <w:bCs/>
          <w:color w:val="000000" w:themeColor="text1"/>
          <w:kern w:val="0"/>
          <w:sz w:val="20"/>
          <w:szCs w:val="20"/>
          <w14:textFill>
            <w14:solidFill>
              <w14:schemeClr w14:val="tx1"/>
            </w14:solidFill>
          </w14:textFill>
        </w:rPr>
        <w:t>target node; Source</w:t>
      </w:r>
      <w:r>
        <w:rPr>
          <w:rFonts w:ascii="Times New Roman" w:hAnsi="Times New Roman" w:cs="Times New Roman"/>
          <w:b/>
          <w:bCs/>
          <w:color w:val="000000" w:themeColor="text1"/>
          <w:kern w:val="0"/>
          <w:sz w:val="20"/>
          <w:szCs w:val="20"/>
          <w14:textFill>
            <w14:solidFill>
              <w14:schemeClr w14:val="tx1"/>
            </w14:solidFill>
          </w14:textFill>
        </w:rPr>
        <w:t xml:space="preserve"> node</w:t>
      </w:r>
      <w:r>
        <w:rPr>
          <w:rFonts w:hint="eastAsia" w:ascii="Times New Roman" w:hAnsi="Times New Roman" w:cs="Times New Roman"/>
          <w:b/>
          <w:bCs/>
          <w:color w:val="000000" w:themeColor="text1"/>
          <w:kern w:val="0"/>
          <w:sz w:val="20"/>
          <w:szCs w:val="20"/>
          <w14:textFill>
            <w14:solidFill>
              <w14:schemeClr w14:val="tx1"/>
            </w14:solidFill>
          </w14:textFill>
        </w:rPr>
        <w:t xml:space="preserve"> c</w:t>
      </w:r>
      <w:r>
        <w:rPr>
          <w:rFonts w:ascii="Times New Roman" w:hAnsi="Times New Roman" w:cs="Times New Roman"/>
          <w:b/>
          <w:bCs/>
          <w:color w:val="000000" w:themeColor="text1"/>
          <w:kern w:val="0"/>
          <w:sz w:val="20"/>
          <w:szCs w:val="20"/>
          <w14:textFill>
            <w14:solidFill>
              <w14:schemeClr w14:val="tx1"/>
            </w14:solidFill>
          </w14:textFill>
        </w:rPr>
        <w:t xml:space="preserve">ould </w:t>
      </w:r>
      <w:r>
        <w:rPr>
          <w:rFonts w:hint="eastAsia" w:ascii="Times New Roman" w:hAnsi="Times New Roman" w:cs="Times New Roman"/>
          <w:b/>
          <w:bCs/>
          <w:color w:val="000000" w:themeColor="text1"/>
          <w:kern w:val="0"/>
          <w:sz w:val="20"/>
          <w:szCs w:val="20"/>
          <w14:textFill>
            <w14:solidFill>
              <w14:schemeClr w14:val="tx1"/>
            </w14:solidFill>
          </w14:textFill>
        </w:rPr>
        <w:t xml:space="preserve">also request measured EC after off load traffic to the target node, and use the delta EC value as feedback </w:t>
      </w:r>
      <w:r>
        <w:rPr>
          <w:rFonts w:ascii="Times New Roman" w:hAnsi="Times New Roman" w:cs="Times New Roman"/>
          <w:b/>
          <w:bCs/>
          <w:color w:val="000000" w:themeColor="text1"/>
          <w:kern w:val="0"/>
          <w:sz w:val="20"/>
          <w:szCs w:val="20"/>
          <w14:textFill>
            <w14:solidFill>
              <w14:schemeClr w14:val="tx1"/>
            </w14:solidFill>
          </w14:textFill>
        </w:rPr>
        <w:t>for AI/ML training model</w:t>
      </w:r>
      <w:r>
        <w:rPr>
          <w:rFonts w:hint="eastAsia" w:ascii="Times New Roman" w:hAnsi="Times New Roman" w:cs="Times New Roman"/>
          <w:b/>
          <w:bCs/>
          <w:color w:val="000000" w:themeColor="text1"/>
          <w:kern w:val="0"/>
          <w:sz w:val="20"/>
          <w:szCs w:val="20"/>
          <w14:textFill>
            <w14:solidFill>
              <w14:schemeClr w14:val="tx1"/>
            </w14:solidFill>
          </w14:textFill>
        </w:rPr>
        <w:t>.</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drawing>
          <wp:inline distT="0" distB="0" distL="0" distR="0">
            <wp:extent cx="4844415" cy="3117850"/>
            <wp:effectExtent l="0" t="0" r="0" b="6350"/>
            <wp:docPr id="5" name="图片 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9425" cy="3121100"/>
                    </a:xfrm>
                    <a:prstGeom prst="rect">
                      <a:avLst/>
                    </a:prstGeom>
                  </pic:spPr>
                </pic:pic>
              </a:graphicData>
            </a:graphic>
          </wp:inline>
        </w:drawing>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A</w:t>
      </w:r>
      <w:r>
        <w:rPr>
          <w:rFonts w:ascii="Times New Roman" w:hAnsi="Times New Roman" w:cs="Times New Roman"/>
          <w:color w:val="000000" w:themeColor="text1"/>
          <w:kern w:val="0"/>
          <w:sz w:val="20"/>
          <w:szCs w:val="20"/>
          <w:lang w:val="en-GB"/>
          <w14:textFill>
            <w14:solidFill>
              <w14:schemeClr w14:val="tx1"/>
            </w14:solidFill>
          </w14:textFill>
        </w:rPr>
        <w:t>nd the metric of load and Energy Consumption (EC) is not confirmed yet. In previous meeting, the following information options are suggested to support for the definition of “Additional Load”: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 xml:space="preserve">Number of RRC connections to be offloaded,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 xml:space="preserve">Number of Active UEs to be offloaded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PRB load to be offloaded (the definition needs to be discussed further)</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Average UL/DL PDCP SDU data volume to be offloaded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Target Cell of the offloading action</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W</w:t>
      </w:r>
      <w:r>
        <w:rPr>
          <w:rFonts w:ascii="Times New Roman" w:hAnsi="Times New Roman" w:cs="Times New Roman"/>
          <w:color w:val="000000" w:themeColor="text1"/>
          <w:kern w:val="0"/>
          <w:sz w:val="20"/>
          <w:szCs w:val="20"/>
          <w:lang w:val="en-GB"/>
          <w14:textFill>
            <w14:solidFill>
              <w14:schemeClr w14:val="tx1"/>
            </w14:solidFill>
          </w14:textFill>
        </w:rPr>
        <w:t xml:space="preserve">e suggest to list all these information to define “Additional Load”, and FFS the presence as optional or mandatory for each of them. The UL/DL PDCP SDU data volume should be a mandatory parameter to define the “Additional Load”.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7</w:t>
      </w:r>
      <w:r>
        <w:rPr>
          <w:rFonts w:hint="eastAsia" w:ascii="Times New Roman" w:hAnsi="Times New Roman" w:cs="Times New Roman"/>
          <w:b/>
          <w:bCs/>
          <w:color w:val="000000" w:themeColor="text1"/>
          <w:kern w:val="0"/>
          <w:sz w:val="20"/>
          <w:szCs w:val="20"/>
          <w:lang w:val="en-GB"/>
          <w14:textFill>
            <w14:solidFill>
              <w14:schemeClr w14:val="tx1"/>
            </w14:solidFill>
          </w14:textFill>
        </w:rPr>
        <w:t>： 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use </w:t>
      </w:r>
      <w:r>
        <w:rPr>
          <w:rFonts w:ascii="Times New Roman" w:hAnsi="Times New Roman" w:cs="Times New Roman"/>
          <w:b/>
          <w:bCs/>
          <w:i/>
          <w:iCs/>
          <w:color w:val="000000" w:themeColor="text1"/>
          <w:kern w:val="0"/>
          <w:sz w:val="20"/>
          <w:szCs w:val="20"/>
          <w:lang w:val="en-GB"/>
          <w14:textFill>
            <w14:solidFill>
              <w14:schemeClr w14:val="tx1"/>
            </w14:solidFill>
          </w14:textFill>
        </w:rPr>
        <w:t>Average UL/DL PDCP SDU data volume to be offloaded</w:t>
      </w:r>
      <w:r>
        <w:rPr>
          <w:rFonts w:ascii="Times New Roman" w:hAnsi="Times New Roman" w:cs="Times New Roman"/>
          <w:b/>
          <w:bCs/>
          <w:color w:val="000000" w:themeColor="text1"/>
          <w:kern w:val="0"/>
          <w:sz w:val="20"/>
          <w:szCs w:val="20"/>
          <w:lang w:val="en-GB"/>
          <w14:textFill>
            <w14:solidFill>
              <w14:schemeClr w14:val="tx1"/>
            </w14:solidFill>
          </w14:textFill>
        </w:rPr>
        <w:t xml:space="preserve"> (name can be further discussed) as a mandatory parameter to define addition load, </w:t>
      </w:r>
      <w:r>
        <w:rPr>
          <w:rFonts w:ascii="Times New Roman" w:hAnsi="Times New Roman" w:cs="Times New Roman"/>
          <w:b/>
          <w:bCs/>
          <w:i/>
          <w:iCs/>
          <w:color w:val="000000" w:themeColor="text1"/>
          <w:kern w:val="0"/>
          <w:sz w:val="20"/>
          <w:szCs w:val="20"/>
          <w:lang w:val="en-GB"/>
          <w14:textFill>
            <w14:solidFill>
              <w14:schemeClr w14:val="tx1"/>
            </w14:solidFill>
          </w14:textFill>
        </w:rPr>
        <w:t>Average UL/DL PDCP SDU data volume</w:t>
      </w:r>
      <w:r>
        <w:rPr>
          <w:rFonts w:ascii="Times New Roman" w:hAnsi="Times New Roman" w:cs="Times New Roman"/>
          <w:b/>
          <w:bCs/>
          <w:color w:val="000000" w:themeColor="text1"/>
          <w:kern w:val="0"/>
          <w:sz w:val="20"/>
          <w:szCs w:val="20"/>
          <w:lang w:val="en-GB"/>
          <w14:textFill>
            <w14:solidFill>
              <w14:schemeClr w14:val="tx1"/>
            </w14:solidFill>
          </w14:textFill>
        </w:rPr>
        <w:t xml:space="preserve"> can refer to the definition of </w:t>
      </w:r>
      <w:r>
        <w:rPr>
          <w:rFonts w:hint="eastAsia" w:ascii="Times New Roman" w:hAnsi="Times New Roman" w:cs="Times New Roman"/>
          <w:b/>
          <w:bCs/>
          <w:color w:val="000000" w:themeColor="text1"/>
          <w:kern w:val="0"/>
          <w:sz w:val="20"/>
          <w:szCs w:val="20"/>
          <w:lang w:val="en-GB"/>
          <w14:textFill>
            <w14:solidFill>
              <w14:schemeClr w14:val="tx1"/>
            </w14:solidFill>
          </w14:textFill>
        </w:rPr>
        <w:t>UL</w:t>
      </w:r>
      <w:r>
        <w:rPr>
          <w:rFonts w:ascii="Times New Roman" w:hAnsi="Times New Roman" w:cs="Times New Roman"/>
          <w:b/>
          <w:bCs/>
          <w:color w:val="000000" w:themeColor="text1"/>
          <w:kern w:val="0"/>
          <w:sz w:val="20"/>
          <w:szCs w:val="20"/>
          <w:lang w:val="en-GB"/>
          <w14:textFill>
            <w14:solidFill>
              <w14:schemeClr w14:val="tx1"/>
            </w14:solidFill>
          </w14:textFill>
        </w:rPr>
        <w:t>/DL PDCP SDU Data Volume Measurements in TS28.552 as a base line, it provide</w:t>
      </w:r>
      <w:r>
        <w:rPr>
          <w:rFonts w:hint="eastAsia" w:ascii="Times New Roman" w:hAnsi="Times New Roman" w:cs="Times New Roman"/>
          <w:b/>
          <w:bCs/>
          <w:color w:val="000000" w:themeColor="text1"/>
          <w:kern w:val="0"/>
          <w:sz w:val="20"/>
          <w:szCs w:val="20"/>
          <w:lang w:val="en-GB"/>
          <w14:textFill>
            <w14:solidFill>
              <w14:schemeClr w14:val="tx1"/>
            </w14:solidFill>
          </w14:textFill>
        </w:rPr>
        <w:t>s</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Data Volume (amount of PDCP SDU bits) in the uplink/downlink delivered to PDCP layer. </w:t>
      </w:r>
      <w:r>
        <w:rPr>
          <w:rFonts w:hint="eastAsia" w:ascii="Times New Roman" w:hAnsi="Times New Roman" w:cs="Times New Roman"/>
          <w:b/>
          <w:bCs/>
          <w:color w:val="000000" w:themeColor="text1"/>
          <w:kern w:val="0"/>
          <w:sz w:val="20"/>
          <w:szCs w:val="20"/>
          <w:lang w:val="en-GB"/>
          <w14:textFill>
            <w14:solidFill>
              <w14:schemeClr w14:val="tx1"/>
            </w14:solidFill>
          </w14:textFill>
        </w:rPr>
        <w:t>The</w:t>
      </w:r>
      <w:r>
        <w:rPr>
          <w:rFonts w:ascii="Times New Roman" w:hAnsi="Times New Roman" w:cs="Times New Roman"/>
          <w:b/>
          <w:bCs/>
          <w:color w:val="000000" w:themeColor="text1"/>
          <w:kern w:val="0"/>
          <w:sz w:val="20"/>
          <w:szCs w:val="20"/>
          <w:lang w:val="en-GB"/>
          <w14:textFill>
            <w14:solidFill>
              <w14:schemeClr w14:val="tx1"/>
            </w14:solidFill>
          </w14:textFill>
        </w:rPr>
        <w:t xml:space="preserve"> other information can also been used to define the  “</w:t>
      </w:r>
      <w:r>
        <w:rPr>
          <w:rFonts w:hint="eastAsia" w:ascii="Times New Roman" w:hAnsi="Times New Roman" w:cs="Times New Roman"/>
          <w:b/>
          <w:bCs/>
          <w:color w:val="000000" w:themeColor="text1"/>
          <w:kern w:val="0"/>
          <w:sz w:val="20"/>
          <w:szCs w:val="20"/>
          <w:lang w:val="en-GB"/>
          <w14:textFill>
            <w14:solidFill>
              <w14:schemeClr w14:val="tx1"/>
            </w14:solidFill>
          </w14:textFill>
        </w:rPr>
        <w:t>Additional</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Load</w:t>
      </w:r>
      <w:r>
        <w:rPr>
          <w:rFonts w:ascii="Times New Roman" w:hAnsi="Times New Roman" w:cs="Times New Roman"/>
          <w:b/>
          <w:bCs/>
          <w:color w:val="000000" w:themeColor="text1"/>
          <w:kern w:val="0"/>
          <w:sz w:val="20"/>
          <w:szCs w:val="20"/>
          <w:lang w:val="en-GB"/>
          <w14:textFill>
            <w14:solidFill>
              <w14:schemeClr w14:val="tx1"/>
            </w14:solidFill>
          </w14:textFill>
        </w:rPr>
        <w:t>”</w:t>
      </w:r>
      <w:r>
        <w:rPr>
          <w:rFonts w:hint="eastAsia" w:ascii="Times New Roman" w:hAnsi="Times New Roman" w:cs="Times New Roman"/>
          <w:b/>
          <w:bCs/>
          <w:color w:val="000000" w:themeColor="text1"/>
          <w:kern w:val="0"/>
          <w:sz w:val="20"/>
          <w:szCs w:val="20"/>
          <w:lang w:val="en-GB"/>
          <w14:textFill>
            <w14:solidFill>
              <w14:schemeClr w14:val="tx1"/>
            </w14:solidFill>
          </w14:textFill>
        </w:rPr>
        <w:t>，but</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presence can be FFS.</w:t>
      </w:r>
    </w:p>
    <w:p>
      <w:pPr>
        <w:pStyle w:val="20"/>
        <w:spacing w:before="120" w:beforeLines="50" w:beforeAutospacing="0" w:after="120" w:afterLines="50" w:afterAutospacing="0"/>
        <w:rPr>
          <w:rFonts w:ascii="Times New Roman" w:hAnsi="Times New Roman" w:cs="Times New Roman"/>
          <w:b/>
          <w:bCs/>
          <w:sz w:val="20"/>
          <w:szCs w:val="20"/>
          <w:lang w:val="en-GB" w:bidi="ar"/>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rFonts w:ascii="Times New Roman" w:hAnsi="Times New Roman"/>
          <w:szCs w:val="22"/>
          <w:lang w:bidi="ar"/>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additional input considerations on the rem</w:t>
      </w:r>
      <w:r>
        <w:rPr>
          <w:rFonts w:hint="eastAsia" w:ascii="Times New Roman" w:hAnsi="Times New Roman" w:eastAsia="宋体"/>
          <w:lang w:eastAsia="zh-CN"/>
        </w:rPr>
        <w:t>aining</w:t>
      </w:r>
      <w:r>
        <w:rPr>
          <w:rFonts w:ascii="Times New Roman" w:hAnsi="Times New Roman" w:eastAsia="宋体"/>
          <w:lang w:eastAsia="zh-CN"/>
        </w:rPr>
        <w:t xml:space="preserve"> issues on </w:t>
      </w:r>
      <w:r>
        <w:rPr>
          <w:rFonts w:hint="eastAsia" w:ascii="Times New Roman" w:hAnsi="Times New Roman" w:eastAsia="宋体"/>
          <w:lang w:eastAsia="zh-CN"/>
        </w:rPr>
        <w:t>AI/ML</w:t>
      </w:r>
      <w:r>
        <w:rPr>
          <w:rFonts w:ascii="Times New Roman" w:hAnsi="Times New Roman" w:eastAsia="宋体"/>
          <w:lang w:eastAsia="zh-CN"/>
        </w:rPr>
        <w:t xml:space="preserve"> for NG-RAN Energy Saving, f</w:t>
      </w:r>
      <w:r>
        <w:rPr>
          <w:rFonts w:ascii="Times New Roman" w:hAnsi="Times New Roman"/>
          <w:szCs w:val="22"/>
          <w:lang w:bidi="ar"/>
        </w:rPr>
        <w:t xml:space="preserve">ollowing </w:t>
      </w:r>
      <w:r>
        <w:rPr>
          <w:rFonts w:hint="eastAsia" w:ascii="Times New Roman" w:hAnsi="Times New Roman"/>
          <w:szCs w:val="22"/>
          <w:lang w:eastAsia="zh-CN" w:bidi="ar"/>
        </w:rPr>
        <w:t>ob</w:t>
      </w:r>
      <w:r>
        <w:rPr>
          <w:rFonts w:ascii="Times New Roman" w:hAnsi="Times New Roman"/>
          <w:szCs w:val="22"/>
          <w:lang w:eastAsia="zh-CN" w:bidi="ar"/>
        </w:rPr>
        <w:t xml:space="preserve">servations and </w:t>
      </w:r>
      <w:r>
        <w:rPr>
          <w:rFonts w:ascii="Times New Roman" w:hAnsi="Times New Roman"/>
          <w:szCs w:val="22"/>
          <w:lang w:bidi="ar"/>
        </w:rPr>
        <w:t>proposals are made:</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1: Energy Consumption (EC) </w:t>
      </w:r>
      <w:r>
        <w:rPr>
          <w:rFonts w:hint="eastAsia" w:ascii="Times New Roman" w:hAnsi="Times New Roman" w:cs="Times New Roman"/>
          <w:b/>
          <w:bCs/>
          <w:color w:val="000000" w:themeColor="text1"/>
          <w:kern w:val="0"/>
          <w:sz w:val="20"/>
          <w:szCs w:val="20"/>
          <w:lang w:val="en-GB"/>
          <w14:textFill>
            <w14:solidFill>
              <w14:schemeClr w14:val="tx1"/>
            </w14:solidFill>
          </w14:textFill>
        </w:rPr>
        <w:t>should</w:t>
      </w:r>
      <w:r>
        <w:rPr>
          <w:rFonts w:ascii="Times New Roman" w:hAnsi="Times New Roman" w:cs="Times New Roman"/>
          <w:b/>
          <w:bCs/>
          <w:color w:val="000000" w:themeColor="text1"/>
          <w:kern w:val="0"/>
          <w:sz w:val="20"/>
          <w:szCs w:val="20"/>
          <w:lang w:val="en-GB"/>
          <w14:textFill>
            <w14:solidFill>
              <w14:schemeClr w14:val="tx1"/>
            </w14:solidFill>
          </w14:textFill>
        </w:rPr>
        <w:t xml:space="preserve"> be encoded as a </w:t>
      </w:r>
      <w:r>
        <w:rPr>
          <w:rFonts w:hint="eastAsia" w:ascii="Times New Roman" w:hAnsi="Times New Roman" w:cs="Times New Roman"/>
          <w:b/>
          <w:bCs/>
          <w:color w:val="000000" w:themeColor="text1"/>
          <w:kern w:val="0"/>
          <w:sz w:val="20"/>
          <w:szCs w:val="20"/>
          <w:lang w:val="en-GB"/>
          <w14:textFill>
            <w14:solidFill>
              <w14:schemeClr w14:val="tx1"/>
            </w14:solidFill>
          </w14:textFill>
        </w:rPr>
        <w:t>unified</w:t>
      </w:r>
      <w:r>
        <w:rPr>
          <w:rFonts w:ascii="Times New Roman" w:hAnsi="Times New Roman" w:cs="Times New Roman"/>
          <w:b/>
          <w:bCs/>
          <w:color w:val="000000" w:themeColor="text1"/>
          <w:kern w:val="0"/>
          <w:sz w:val="20"/>
          <w:szCs w:val="20"/>
          <w:lang w:val="en-GB"/>
          <w14:textFill>
            <w14:solidFill>
              <w14:schemeClr w14:val="tx1"/>
            </w14:solidFill>
          </w14:textFill>
        </w:rPr>
        <w:t xml:space="preserve"> defined value, which can be fully understood in the same way among the different network elements by different providers.</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2: </w:t>
      </w:r>
      <w:r>
        <w:rPr>
          <w:rFonts w:hint="eastAsia" w:ascii="Times New Roman" w:hAnsi="Times New Roman" w:cs="Times New Roman"/>
          <w:b/>
          <w:bCs/>
          <w:color w:val="000000" w:themeColor="text1"/>
          <w:kern w:val="0"/>
          <w:sz w:val="20"/>
          <w:szCs w:val="20"/>
          <w:lang w:val="en-GB"/>
          <w14:textFill>
            <w14:solidFill>
              <w14:schemeClr w14:val="tx1"/>
            </w14:solidFill>
          </w14:textFill>
        </w:rPr>
        <w:t>For</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AI/ML Training Model input/feedback, the source node can request inferred or measured Energy Consumption u</w:t>
      </w:r>
      <w:r>
        <w:rPr>
          <w:rFonts w:hint="eastAsia" w:ascii="Times New Roman" w:hAnsi="Times New Roman" w:cs="Times New Roman"/>
          <w:b/>
          <w:bCs/>
          <w:color w:val="000000" w:themeColor="text1"/>
          <w:kern w:val="0"/>
          <w:sz w:val="20"/>
          <w:szCs w:val="20"/>
          <w:lang w:val="en-GB"/>
          <w14:textFill>
            <w14:solidFill>
              <w14:schemeClr w14:val="tx1"/>
            </w14:solidFill>
          </w14:textFill>
        </w:rPr>
        <w:t>s</w:t>
      </w:r>
      <w:r>
        <w:rPr>
          <w:rFonts w:ascii="Times New Roman" w:hAnsi="Times New Roman" w:cs="Times New Roman"/>
          <w:b/>
          <w:bCs/>
          <w:color w:val="000000" w:themeColor="text1"/>
          <w:kern w:val="0"/>
          <w:sz w:val="20"/>
          <w:szCs w:val="20"/>
          <w:lang w:val="en-GB"/>
          <w14:textFill>
            <w14:solidFill>
              <w14:schemeClr w14:val="tx1"/>
            </w14:solidFill>
          </w14:textFill>
        </w:rPr>
        <w:t>ing</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 the already introduced AI/ML Information Reporting Initiation (Class 1 – AI/ML INFORMATION REQUEST/RESPONSE) procedure. Use the AI/ML Information Reporting (Class 2 – AI/ML INFORMATION UPDATE) procedure to allow the target NG-RAN node to report the </w:t>
      </w:r>
      <w:r>
        <w:rPr>
          <w:rFonts w:ascii="Times New Roman" w:hAnsi="Times New Roman" w:cs="Times New Roman"/>
          <w:b/>
          <w:bCs/>
          <w:color w:val="000000" w:themeColor="text1"/>
          <w:kern w:val="0"/>
          <w:sz w:val="20"/>
          <w:szCs w:val="20"/>
          <w:lang w:val="en-GB"/>
          <w14:textFill>
            <w14:solidFill>
              <w14:schemeClr w14:val="tx1"/>
            </w14:solidFill>
          </w14:textFill>
        </w:rPr>
        <w:t>inferred or measured</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 the Energy Cost (name of the procedures to be further discussed)</w:t>
      </w:r>
      <w:r>
        <w:rPr>
          <w:rFonts w:ascii="Times New Roman" w:hAnsi="Times New Roman" w:cs="Times New Roman"/>
          <w:b/>
          <w:bCs/>
          <w:color w:val="000000" w:themeColor="text1"/>
          <w:kern w:val="0"/>
          <w:sz w:val="20"/>
          <w:szCs w:val="20"/>
          <w:lang w:val="en-GB"/>
          <w14:textFill>
            <w14:solidFill>
              <w14:schemeClr w14:val="tx1"/>
            </w14:solidFill>
          </w14:textFill>
        </w:rPr>
        <w:t>. The request is triggered by AI/ML INFORMATION REQUEST, whether it happens before or after HO depends on implementation, when the source node sends out the request.</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1: It is proposed to use the actual value based on the definition in TS28.552 to present Energy Consumption, or use index value which is unified defined by SA5 to present </w:t>
      </w:r>
      <w:r>
        <w:rPr>
          <w:rFonts w:hint="eastAsia" w:ascii="Times New Roman" w:hAnsi="Times New Roman" w:cs="Times New Roman"/>
          <w:b/>
          <w:bCs/>
          <w:color w:val="000000" w:themeColor="text1"/>
          <w:kern w:val="0"/>
          <w:sz w:val="20"/>
          <w:szCs w:val="20"/>
          <w:lang w:val="en-GB"/>
          <w14:textFill>
            <w14:solidFill>
              <w14:schemeClr w14:val="tx1"/>
            </w14:solidFill>
          </w14:textFill>
        </w:rPr>
        <w:t>Energy</w:t>
      </w:r>
      <w:r>
        <w:rPr>
          <w:rFonts w:ascii="Times New Roman" w:hAnsi="Times New Roman" w:cs="Times New Roman"/>
          <w:b/>
          <w:bCs/>
          <w:color w:val="000000" w:themeColor="text1"/>
          <w:kern w:val="0"/>
          <w:sz w:val="20"/>
          <w:szCs w:val="20"/>
          <w:lang w:val="en-GB"/>
          <w14:textFill>
            <w14:solidFill>
              <w14:schemeClr w14:val="tx1"/>
            </w14:solidFill>
          </w14:textFill>
        </w:rPr>
        <w:t xml:space="preserve"> Consumption.</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2</w:t>
      </w:r>
      <w:r>
        <w:rPr>
          <w:rFonts w:hint="eastAsia" w:ascii="Times New Roman" w:hAnsi="Times New Roman" w:cs="Times New Roman"/>
          <w:b/>
          <w:bCs/>
          <w:color w:val="000000" w:themeColor="text1"/>
          <w:kern w:val="0"/>
          <w:sz w:val="20"/>
          <w:szCs w:val="20"/>
          <w:lang w:val="en-GB"/>
          <w14:textFill>
            <w14:solidFill>
              <w14:schemeClr w14:val="tx1"/>
            </w14:solidFill>
          </w14:textFill>
        </w:rPr>
        <w:t>：It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turn the WA into agreement: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3: Use fifth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“inferred Energy Consumption”, use sixth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“Measured Energy Consumption”.</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4: It is proposed  to use option 1: </w:t>
      </w:r>
      <w:r>
        <w:rPr>
          <w:rFonts w:ascii="Times New Roman" w:hAnsi="Times New Roman" w:cs="Times New Roman"/>
          <w:color w:val="000000" w:themeColor="text1"/>
          <w:kern w:val="0"/>
          <w:sz w:val="20"/>
          <w:szCs w:val="20"/>
          <w:lang w:val="en-GB"/>
          <w14:textFill>
            <w14:solidFill>
              <w14:schemeClr w14:val="tx1"/>
            </w14:solidFill>
          </w14:textFill>
        </w:rPr>
        <w:t>Inferred EC represents the node level EC value assuming that an additional load is served; Measured EC represents the actual node level EC value, e.g. after an additional load is transferred.</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5: The source NG-RAN node could carry the load metric for the additional load in the request message to target NG-RAN node, if it requests an inferred Energy Consumption value to serve the additional load. </w:t>
      </w:r>
    </w:p>
    <w:p>
      <w:pPr>
        <w:pStyle w:val="20"/>
        <w:spacing w:before="120" w:beforeLines="50" w:after="120" w:afterLines="50"/>
        <w:rPr>
          <w:rFonts w:ascii="Times New Roman" w:hAnsi="Times New Roman" w:cs="Times New Roman"/>
          <w:b/>
          <w:bCs/>
          <w:color w:val="000000" w:themeColor="text1"/>
          <w:kern w:val="0"/>
          <w:sz w:val="20"/>
          <w:szCs w:val="20"/>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6: </w:t>
      </w:r>
      <w:r>
        <w:rPr>
          <w:rFonts w:hint="eastAsia" w:ascii="Times New Roman" w:hAnsi="Times New Roman" w:cs="Times New Roman"/>
          <w:b/>
          <w:bCs/>
          <w:color w:val="000000" w:themeColor="text1"/>
          <w:kern w:val="0"/>
          <w:sz w:val="20"/>
          <w:szCs w:val="20"/>
          <w14:textFill>
            <w14:solidFill>
              <w14:schemeClr w14:val="tx1"/>
            </w14:solidFill>
          </w14:textFill>
        </w:rPr>
        <w:t>If request measured EC before offload, the report</w:t>
      </w:r>
      <w:r>
        <w:rPr>
          <w:rFonts w:ascii="Times New Roman" w:hAnsi="Times New Roman" w:cs="Times New Roman"/>
          <w:b/>
          <w:bCs/>
          <w:color w:val="000000" w:themeColor="text1"/>
          <w:kern w:val="0"/>
          <w:sz w:val="20"/>
          <w:szCs w:val="20"/>
          <w14:textFill>
            <w14:solidFill>
              <w14:schemeClr w14:val="tx1"/>
            </w14:solidFill>
          </w14:textFill>
        </w:rPr>
        <w:t>ed</w:t>
      </w:r>
      <w:r>
        <w:rPr>
          <w:rFonts w:hint="eastAsia" w:ascii="Times New Roman" w:hAnsi="Times New Roman" w:cs="Times New Roman"/>
          <w:b/>
          <w:bCs/>
          <w:color w:val="000000" w:themeColor="text1"/>
          <w:kern w:val="0"/>
          <w:sz w:val="20"/>
          <w:szCs w:val="20"/>
          <w14:textFill>
            <w14:solidFill>
              <w14:schemeClr w14:val="tx1"/>
            </w14:solidFill>
          </w14:textFill>
        </w:rPr>
        <w:t xml:space="preserve"> EC can be used as input for AI/ML model </w:t>
      </w:r>
      <w:r>
        <w:rPr>
          <w:rFonts w:ascii="Times New Roman" w:hAnsi="Times New Roman" w:cs="Times New Roman"/>
          <w:b/>
          <w:bCs/>
          <w:color w:val="000000" w:themeColor="text1"/>
          <w:kern w:val="0"/>
          <w:sz w:val="20"/>
          <w:szCs w:val="20"/>
          <w14:textFill>
            <w14:solidFill>
              <w14:schemeClr w14:val="tx1"/>
            </w14:solidFill>
          </w14:textFill>
        </w:rPr>
        <w:t>in source node to</w:t>
      </w:r>
      <w:r>
        <w:rPr>
          <w:rFonts w:hint="eastAsia" w:ascii="Times New Roman" w:hAnsi="Times New Roman" w:cs="Times New Roman"/>
          <w:b/>
          <w:bCs/>
          <w:color w:val="000000" w:themeColor="text1"/>
          <w:kern w:val="0"/>
          <w:sz w:val="20"/>
          <w:szCs w:val="20"/>
          <w14:textFill>
            <w14:solidFill>
              <w14:schemeClr w14:val="tx1"/>
            </w14:solidFill>
          </w14:textFill>
        </w:rPr>
        <w:t xml:space="preserve"> determin</w:t>
      </w:r>
      <w:r>
        <w:rPr>
          <w:rFonts w:ascii="Times New Roman" w:hAnsi="Times New Roman" w:cs="Times New Roman"/>
          <w:b/>
          <w:bCs/>
          <w:color w:val="000000" w:themeColor="text1"/>
          <w:kern w:val="0"/>
          <w:sz w:val="20"/>
          <w:szCs w:val="20"/>
          <w14:textFill>
            <w14:solidFill>
              <w14:schemeClr w14:val="tx1"/>
            </w14:solidFill>
          </w14:textFill>
        </w:rPr>
        <w:t>e</w:t>
      </w:r>
      <w:r>
        <w:rPr>
          <w:rFonts w:hint="eastAsia" w:ascii="Times New Roman" w:hAnsi="Times New Roman" w:cs="Times New Roman"/>
          <w:b/>
          <w:bCs/>
          <w:color w:val="000000" w:themeColor="text1"/>
          <w:kern w:val="0"/>
          <w:sz w:val="20"/>
          <w:szCs w:val="20"/>
          <w14:textFill>
            <w14:solidFill>
              <w14:schemeClr w14:val="tx1"/>
            </w14:solidFill>
          </w14:textFill>
        </w:rPr>
        <w:t xml:space="preserve"> whether source node should off load traffic to </w:t>
      </w:r>
      <w:r>
        <w:rPr>
          <w:rFonts w:ascii="Times New Roman" w:hAnsi="Times New Roman" w:cs="Times New Roman"/>
          <w:b/>
          <w:bCs/>
          <w:color w:val="000000" w:themeColor="text1"/>
          <w:kern w:val="0"/>
          <w:sz w:val="20"/>
          <w:szCs w:val="20"/>
          <w14:textFill>
            <w14:solidFill>
              <w14:schemeClr w14:val="tx1"/>
            </w14:solidFill>
          </w14:textFill>
        </w:rPr>
        <w:t xml:space="preserve">the </w:t>
      </w:r>
      <w:r>
        <w:rPr>
          <w:rFonts w:hint="eastAsia" w:ascii="Times New Roman" w:hAnsi="Times New Roman" w:cs="Times New Roman"/>
          <w:b/>
          <w:bCs/>
          <w:color w:val="000000" w:themeColor="text1"/>
          <w:kern w:val="0"/>
          <w:sz w:val="20"/>
          <w:szCs w:val="20"/>
          <w14:textFill>
            <w14:solidFill>
              <w14:schemeClr w14:val="tx1"/>
            </w14:solidFill>
          </w14:textFill>
        </w:rPr>
        <w:t>target node; Source</w:t>
      </w:r>
      <w:r>
        <w:rPr>
          <w:rFonts w:ascii="Times New Roman" w:hAnsi="Times New Roman" w:cs="Times New Roman"/>
          <w:b/>
          <w:bCs/>
          <w:color w:val="000000" w:themeColor="text1"/>
          <w:kern w:val="0"/>
          <w:sz w:val="20"/>
          <w:szCs w:val="20"/>
          <w14:textFill>
            <w14:solidFill>
              <w14:schemeClr w14:val="tx1"/>
            </w14:solidFill>
          </w14:textFill>
        </w:rPr>
        <w:t xml:space="preserve"> node</w:t>
      </w:r>
      <w:r>
        <w:rPr>
          <w:rFonts w:hint="eastAsia" w:ascii="Times New Roman" w:hAnsi="Times New Roman" w:cs="Times New Roman"/>
          <w:b/>
          <w:bCs/>
          <w:color w:val="000000" w:themeColor="text1"/>
          <w:kern w:val="0"/>
          <w:sz w:val="20"/>
          <w:szCs w:val="20"/>
          <w14:textFill>
            <w14:solidFill>
              <w14:schemeClr w14:val="tx1"/>
            </w14:solidFill>
          </w14:textFill>
        </w:rPr>
        <w:t xml:space="preserve"> c</w:t>
      </w:r>
      <w:r>
        <w:rPr>
          <w:rFonts w:ascii="Times New Roman" w:hAnsi="Times New Roman" w:cs="Times New Roman"/>
          <w:b/>
          <w:bCs/>
          <w:color w:val="000000" w:themeColor="text1"/>
          <w:kern w:val="0"/>
          <w:sz w:val="20"/>
          <w:szCs w:val="20"/>
          <w14:textFill>
            <w14:solidFill>
              <w14:schemeClr w14:val="tx1"/>
            </w14:solidFill>
          </w14:textFill>
        </w:rPr>
        <w:t xml:space="preserve">ould </w:t>
      </w:r>
      <w:r>
        <w:rPr>
          <w:rFonts w:hint="eastAsia" w:ascii="Times New Roman" w:hAnsi="Times New Roman" w:cs="Times New Roman"/>
          <w:b/>
          <w:bCs/>
          <w:color w:val="000000" w:themeColor="text1"/>
          <w:kern w:val="0"/>
          <w:sz w:val="20"/>
          <w:szCs w:val="20"/>
          <w14:textFill>
            <w14:solidFill>
              <w14:schemeClr w14:val="tx1"/>
            </w14:solidFill>
          </w14:textFill>
        </w:rPr>
        <w:t xml:space="preserve">also request measured EC after off load traffic to the target node, and use the delta EC value as feedback </w:t>
      </w:r>
      <w:r>
        <w:rPr>
          <w:rFonts w:ascii="Times New Roman" w:hAnsi="Times New Roman" w:cs="Times New Roman"/>
          <w:b/>
          <w:bCs/>
          <w:color w:val="000000" w:themeColor="text1"/>
          <w:kern w:val="0"/>
          <w:sz w:val="20"/>
          <w:szCs w:val="20"/>
          <w14:textFill>
            <w14:solidFill>
              <w14:schemeClr w14:val="tx1"/>
            </w14:solidFill>
          </w14:textFill>
        </w:rPr>
        <w:t>for AI/ML training model</w:t>
      </w:r>
      <w:r>
        <w:rPr>
          <w:rFonts w:hint="eastAsia" w:ascii="Times New Roman" w:hAnsi="Times New Roman" w:cs="Times New Roman"/>
          <w:b/>
          <w:bCs/>
          <w:color w:val="000000" w:themeColor="text1"/>
          <w:kern w:val="0"/>
          <w:sz w:val="20"/>
          <w:szCs w:val="20"/>
          <w14:textFill>
            <w14:solidFill>
              <w14:schemeClr w14:val="tx1"/>
            </w14:solidFill>
          </w14:textFill>
        </w:rPr>
        <w:t>.</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7</w:t>
      </w:r>
      <w:r>
        <w:rPr>
          <w:rFonts w:hint="eastAsia" w:ascii="Times New Roman" w:hAnsi="Times New Roman" w:cs="Times New Roman"/>
          <w:b/>
          <w:bCs/>
          <w:color w:val="000000" w:themeColor="text1"/>
          <w:kern w:val="0"/>
          <w:sz w:val="20"/>
          <w:szCs w:val="20"/>
          <w:lang w:val="en-GB"/>
          <w14:textFill>
            <w14:solidFill>
              <w14:schemeClr w14:val="tx1"/>
            </w14:solidFill>
          </w14:textFill>
        </w:rPr>
        <w:t>： 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use </w:t>
      </w:r>
      <w:r>
        <w:rPr>
          <w:rFonts w:ascii="Times New Roman" w:hAnsi="Times New Roman" w:cs="Times New Roman"/>
          <w:b/>
          <w:bCs/>
          <w:i/>
          <w:iCs/>
          <w:color w:val="000000" w:themeColor="text1"/>
          <w:kern w:val="0"/>
          <w:sz w:val="20"/>
          <w:szCs w:val="20"/>
          <w:lang w:val="en-GB"/>
          <w14:textFill>
            <w14:solidFill>
              <w14:schemeClr w14:val="tx1"/>
            </w14:solidFill>
          </w14:textFill>
        </w:rPr>
        <w:t>Average UL/DL PDCP SDU data volume to be offloaded</w:t>
      </w:r>
      <w:r>
        <w:rPr>
          <w:rFonts w:ascii="Times New Roman" w:hAnsi="Times New Roman" w:cs="Times New Roman"/>
          <w:b/>
          <w:bCs/>
          <w:color w:val="000000" w:themeColor="text1"/>
          <w:kern w:val="0"/>
          <w:sz w:val="20"/>
          <w:szCs w:val="20"/>
          <w:lang w:val="en-GB"/>
          <w14:textFill>
            <w14:solidFill>
              <w14:schemeClr w14:val="tx1"/>
            </w14:solidFill>
          </w14:textFill>
        </w:rPr>
        <w:t xml:space="preserve"> (name can be further discussed) as a mandatory parameter to define addition load, </w:t>
      </w:r>
      <w:r>
        <w:rPr>
          <w:rFonts w:ascii="Times New Roman" w:hAnsi="Times New Roman" w:cs="Times New Roman"/>
          <w:b/>
          <w:bCs/>
          <w:i/>
          <w:iCs/>
          <w:color w:val="000000" w:themeColor="text1"/>
          <w:kern w:val="0"/>
          <w:sz w:val="20"/>
          <w:szCs w:val="20"/>
          <w:lang w:val="en-GB"/>
          <w14:textFill>
            <w14:solidFill>
              <w14:schemeClr w14:val="tx1"/>
            </w14:solidFill>
          </w14:textFill>
        </w:rPr>
        <w:t>Average UL/DL PDCP SDU data volume</w:t>
      </w:r>
      <w:r>
        <w:rPr>
          <w:rFonts w:ascii="Times New Roman" w:hAnsi="Times New Roman" w:cs="Times New Roman"/>
          <w:b/>
          <w:bCs/>
          <w:color w:val="000000" w:themeColor="text1"/>
          <w:kern w:val="0"/>
          <w:sz w:val="20"/>
          <w:szCs w:val="20"/>
          <w:lang w:val="en-GB"/>
          <w14:textFill>
            <w14:solidFill>
              <w14:schemeClr w14:val="tx1"/>
            </w14:solidFill>
          </w14:textFill>
        </w:rPr>
        <w:t xml:space="preserve"> can refer to the definition of </w:t>
      </w:r>
      <w:r>
        <w:rPr>
          <w:rFonts w:hint="eastAsia" w:ascii="Times New Roman" w:hAnsi="Times New Roman" w:cs="Times New Roman"/>
          <w:b/>
          <w:bCs/>
          <w:color w:val="000000" w:themeColor="text1"/>
          <w:kern w:val="0"/>
          <w:sz w:val="20"/>
          <w:szCs w:val="20"/>
          <w:lang w:val="en-GB"/>
          <w14:textFill>
            <w14:solidFill>
              <w14:schemeClr w14:val="tx1"/>
            </w14:solidFill>
          </w14:textFill>
        </w:rPr>
        <w:t>UL</w:t>
      </w:r>
      <w:r>
        <w:rPr>
          <w:rFonts w:ascii="Times New Roman" w:hAnsi="Times New Roman" w:cs="Times New Roman"/>
          <w:b/>
          <w:bCs/>
          <w:color w:val="000000" w:themeColor="text1"/>
          <w:kern w:val="0"/>
          <w:sz w:val="20"/>
          <w:szCs w:val="20"/>
          <w:lang w:val="en-GB"/>
          <w14:textFill>
            <w14:solidFill>
              <w14:schemeClr w14:val="tx1"/>
            </w14:solidFill>
          </w14:textFill>
        </w:rPr>
        <w:t>/DL PDCP SDU Data Volume Measurements in TS28.552 as a base line, it provide</w:t>
      </w:r>
      <w:r>
        <w:rPr>
          <w:rFonts w:hint="eastAsia" w:ascii="Times New Roman" w:hAnsi="Times New Roman" w:cs="Times New Roman"/>
          <w:b/>
          <w:bCs/>
          <w:color w:val="000000" w:themeColor="text1"/>
          <w:kern w:val="0"/>
          <w:sz w:val="20"/>
          <w:szCs w:val="20"/>
          <w:lang w:val="en-GB"/>
          <w14:textFill>
            <w14:solidFill>
              <w14:schemeClr w14:val="tx1"/>
            </w14:solidFill>
          </w14:textFill>
        </w:rPr>
        <w:t>s</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Data Volume (amount of PDCP SDU bits) in the uplink/downlink delivered to PDCP layer. </w:t>
      </w:r>
      <w:r>
        <w:rPr>
          <w:rFonts w:hint="eastAsia" w:ascii="Times New Roman" w:hAnsi="Times New Roman" w:cs="Times New Roman"/>
          <w:b/>
          <w:bCs/>
          <w:color w:val="000000" w:themeColor="text1"/>
          <w:kern w:val="0"/>
          <w:sz w:val="20"/>
          <w:szCs w:val="20"/>
          <w:lang w:val="en-GB"/>
          <w14:textFill>
            <w14:solidFill>
              <w14:schemeClr w14:val="tx1"/>
            </w14:solidFill>
          </w14:textFill>
        </w:rPr>
        <w:t>The</w:t>
      </w:r>
      <w:r>
        <w:rPr>
          <w:rFonts w:ascii="Times New Roman" w:hAnsi="Times New Roman" w:cs="Times New Roman"/>
          <w:b/>
          <w:bCs/>
          <w:color w:val="000000" w:themeColor="text1"/>
          <w:kern w:val="0"/>
          <w:sz w:val="20"/>
          <w:szCs w:val="20"/>
          <w:lang w:val="en-GB"/>
          <w14:textFill>
            <w14:solidFill>
              <w14:schemeClr w14:val="tx1"/>
            </w14:solidFill>
          </w14:textFill>
        </w:rPr>
        <w:t xml:space="preserve"> other information can also been used to define the  “</w:t>
      </w:r>
      <w:r>
        <w:rPr>
          <w:rFonts w:hint="eastAsia" w:ascii="Times New Roman" w:hAnsi="Times New Roman" w:cs="Times New Roman"/>
          <w:b/>
          <w:bCs/>
          <w:color w:val="000000" w:themeColor="text1"/>
          <w:kern w:val="0"/>
          <w:sz w:val="20"/>
          <w:szCs w:val="20"/>
          <w:lang w:val="en-GB"/>
          <w14:textFill>
            <w14:solidFill>
              <w14:schemeClr w14:val="tx1"/>
            </w14:solidFill>
          </w14:textFill>
        </w:rPr>
        <w:t>Additional</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Load</w:t>
      </w:r>
      <w:r>
        <w:rPr>
          <w:rFonts w:ascii="Times New Roman" w:hAnsi="Times New Roman" w:cs="Times New Roman"/>
          <w:b/>
          <w:bCs/>
          <w:color w:val="000000" w:themeColor="text1"/>
          <w:kern w:val="0"/>
          <w:sz w:val="20"/>
          <w:szCs w:val="20"/>
          <w:lang w:val="en-GB"/>
          <w14:textFill>
            <w14:solidFill>
              <w14:schemeClr w14:val="tx1"/>
            </w14:solidFill>
          </w14:textFill>
        </w:rPr>
        <w:t>”</w:t>
      </w:r>
      <w:r>
        <w:rPr>
          <w:rFonts w:hint="eastAsia" w:ascii="Times New Roman" w:hAnsi="Times New Roman" w:cs="Times New Roman"/>
          <w:b/>
          <w:bCs/>
          <w:color w:val="000000" w:themeColor="text1"/>
          <w:kern w:val="0"/>
          <w:sz w:val="20"/>
          <w:szCs w:val="20"/>
          <w:lang w:val="en-GB"/>
          <w14:textFill>
            <w14:solidFill>
              <w14:schemeClr w14:val="tx1"/>
            </w14:solidFill>
          </w14:textFill>
        </w:rPr>
        <w:t>，but</w:t>
      </w:r>
      <w:r>
        <w:rPr>
          <w:rFonts w:ascii="Times New Roman" w:hAnsi="Times New Roman" w:cs="Times New Roman"/>
          <w:b/>
          <w:bCs/>
          <w:color w:val="000000" w:themeColor="text1"/>
          <w:kern w:val="0"/>
          <w:sz w:val="20"/>
          <w:szCs w:val="20"/>
          <w:lang w:val="en-GB"/>
          <w14:textFill>
            <w14:solidFill>
              <w14:schemeClr w14:val="tx1"/>
            </w14:solidFill>
          </w14:textFill>
        </w:rPr>
        <w:t xml:space="preserve"> the presence can be FFS.</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0"/>
        <w:ind w:left="566" w:hanging="566" w:hangingChars="283"/>
        <w:jc w:val="both"/>
        <w:rPr>
          <w:lang w:eastAsia="zh-CN"/>
        </w:rPr>
      </w:pPr>
      <w:r>
        <w:rPr>
          <w:rFonts w:hint="eastAsia"/>
          <w:lang w:eastAsia="zh-CN"/>
        </w:rPr>
        <w:t xml:space="preserve">[1] </w:t>
      </w:r>
      <w:r>
        <w:rPr>
          <w:rFonts w:hint="eastAsia"/>
          <w:lang w:eastAsia="zh-CN"/>
        </w:rPr>
        <w:tab/>
      </w:r>
      <w:r>
        <w:rPr>
          <w:rFonts w:hint="eastAsia"/>
          <w:lang w:eastAsia="zh-CN"/>
        </w:rPr>
        <w:t xml:space="preserve">3GPP </w:t>
      </w:r>
      <w:r>
        <w:rPr>
          <w:lang w:eastAsia="zh-CN"/>
        </w:rPr>
        <w:t>RP-220617 TR 37.817-200, CMCC</w:t>
      </w:r>
    </w:p>
    <w:p>
      <w:pPr>
        <w:pStyle w:val="70"/>
        <w:ind w:left="566" w:hanging="566" w:hangingChars="283"/>
        <w:jc w:val="both"/>
        <w:rPr>
          <w:lang w:eastAsia="zh-CN"/>
        </w:rPr>
      </w:pPr>
      <w:r>
        <w:rPr>
          <w:rFonts w:hint="eastAsia"/>
          <w:lang w:eastAsia="zh-CN"/>
        </w:rPr>
        <w:t>[2]</w:t>
      </w:r>
      <w:r>
        <w:rPr>
          <w:lang w:eastAsia="zh-CN"/>
        </w:rPr>
        <w:t xml:space="preserve">      </w:t>
      </w:r>
      <w:r>
        <w:t xml:space="preserve">3GPP </w:t>
      </w:r>
      <w:r>
        <w:rPr>
          <w:rFonts w:hint="eastAsia"/>
          <w:lang w:eastAsia="zh-CN"/>
        </w:rPr>
        <w:t>TS</w:t>
      </w:r>
      <w:r>
        <w:rPr>
          <w:lang w:eastAsia="zh-CN"/>
        </w:rPr>
        <w:t>28.552:  Management and orchestration;</w:t>
      </w:r>
      <w:r>
        <w:rPr>
          <w:rFonts w:hint="eastAsia"/>
          <w:lang w:eastAsia="zh-CN"/>
        </w:rPr>
        <w:t xml:space="preserve"> </w:t>
      </w:r>
      <w:r>
        <w:rPr>
          <w:lang w:eastAsia="zh-CN"/>
        </w:rPr>
        <w:t>5G performance measurements</w:t>
      </w:r>
      <w:r>
        <w:rPr>
          <w:rFonts w:hint="eastAsia"/>
          <w:lang w:eastAsia="zh-CN"/>
        </w:rPr>
        <w:t xml:space="preserve"> </w:t>
      </w:r>
      <w:r>
        <w:rPr>
          <w:lang w:eastAsia="zh-CN"/>
        </w:rPr>
        <w:t>(Release 17)</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20B0604020202020204"/>
    <w:charset w:val="00"/>
    <w:family w:val="roman"/>
    <w:pitch w:val="default"/>
    <w:sig w:usb0="00000000" w:usb1="00000000" w:usb2="00000000" w:usb3="00000000" w:csb0="00000000" w:csb1="00000000"/>
  </w:font>
  <w:font w:name="Times-Italic">
    <w:altName w:val="Times New Roman"/>
    <w:panose1 w:val="0000050000000009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052B38"/>
    <w:multiLevelType w:val="multilevel"/>
    <w:tmpl w:val="2B052B3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06"/>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6679B"/>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86ABD"/>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66B"/>
    <w:rsid w:val="000A5DC4"/>
    <w:rsid w:val="000A63F8"/>
    <w:rsid w:val="000A7132"/>
    <w:rsid w:val="000A73EA"/>
    <w:rsid w:val="000B16C5"/>
    <w:rsid w:val="000B2125"/>
    <w:rsid w:val="000B25C8"/>
    <w:rsid w:val="000B3C49"/>
    <w:rsid w:val="000B4ABE"/>
    <w:rsid w:val="000B4F1C"/>
    <w:rsid w:val="000B4F7D"/>
    <w:rsid w:val="000B5E8D"/>
    <w:rsid w:val="000B73E0"/>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C75"/>
    <w:rsid w:val="000F5F2D"/>
    <w:rsid w:val="000F67D5"/>
    <w:rsid w:val="000F691E"/>
    <w:rsid w:val="000F6B2B"/>
    <w:rsid w:val="000F702D"/>
    <w:rsid w:val="001006E4"/>
    <w:rsid w:val="00100872"/>
    <w:rsid w:val="001027D8"/>
    <w:rsid w:val="0010286B"/>
    <w:rsid w:val="00102970"/>
    <w:rsid w:val="00102C20"/>
    <w:rsid w:val="00104332"/>
    <w:rsid w:val="00105615"/>
    <w:rsid w:val="00106C5E"/>
    <w:rsid w:val="00107159"/>
    <w:rsid w:val="001071E5"/>
    <w:rsid w:val="0010766E"/>
    <w:rsid w:val="00107E72"/>
    <w:rsid w:val="00110069"/>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2DEE"/>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47A"/>
    <w:rsid w:val="001E5706"/>
    <w:rsid w:val="001E574B"/>
    <w:rsid w:val="001E595A"/>
    <w:rsid w:val="001E5981"/>
    <w:rsid w:val="001F0C89"/>
    <w:rsid w:val="001F1942"/>
    <w:rsid w:val="001F1AF6"/>
    <w:rsid w:val="001F1C80"/>
    <w:rsid w:val="001F223A"/>
    <w:rsid w:val="001F2C61"/>
    <w:rsid w:val="001F3280"/>
    <w:rsid w:val="001F45A6"/>
    <w:rsid w:val="001F4761"/>
    <w:rsid w:val="001F611C"/>
    <w:rsid w:val="001F67D5"/>
    <w:rsid w:val="001F6AD3"/>
    <w:rsid w:val="00200FE0"/>
    <w:rsid w:val="00202A03"/>
    <w:rsid w:val="00203376"/>
    <w:rsid w:val="00203CFD"/>
    <w:rsid w:val="0020466E"/>
    <w:rsid w:val="00205EC7"/>
    <w:rsid w:val="00207FCF"/>
    <w:rsid w:val="00210C41"/>
    <w:rsid w:val="00210EC4"/>
    <w:rsid w:val="00211A10"/>
    <w:rsid w:val="00213BF4"/>
    <w:rsid w:val="00214023"/>
    <w:rsid w:val="00214DD3"/>
    <w:rsid w:val="00215B89"/>
    <w:rsid w:val="002169CB"/>
    <w:rsid w:val="002173BC"/>
    <w:rsid w:val="002177A7"/>
    <w:rsid w:val="002179F4"/>
    <w:rsid w:val="00217E3E"/>
    <w:rsid w:val="00217F16"/>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041"/>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1BE"/>
    <w:rsid w:val="002E6700"/>
    <w:rsid w:val="002E68F6"/>
    <w:rsid w:val="002E7100"/>
    <w:rsid w:val="002E7F32"/>
    <w:rsid w:val="002F1867"/>
    <w:rsid w:val="002F2CD0"/>
    <w:rsid w:val="002F2E48"/>
    <w:rsid w:val="002F3B9F"/>
    <w:rsid w:val="002F3E02"/>
    <w:rsid w:val="002F6CCB"/>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47D2"/>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C78"/>
    <w:rsid w:val="00346E03"/>
    <w:rsid w:val="0034751A"/>
    <w:rsid w:val="0035014B"/>
    <w:rsid w:val="00350232"/>
    <w:rsid w:val="003510A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23B"/>
    <w:rsid w:val="00374E46"/>
    <w:rsid w:val="0037549C"/>
    <w:rsid w:val="00375CDA"/>
    <w:rsid w:val="003760DD"/>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6A15"/>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29B"/>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095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AA0"/>
    <w:rsid w:val="00440EB3"/>
    <w:rsid w:val="00441D87"/>
    <w:rsid w:val="00441F5B"/>
    <w:rsid w:val="004423EB"/>
    <w:rsid w:val="00442589"/>
    <w:rsid w:val="00444364"/>
    <w:rsid w:val="00445DB3"/>
    <w:rsid w:val="004463E9"/>
    <w:rsid w:val="004469F9"/>
    <w:rsid w:val="00446C1B"/>
    <w:rsid w:val="00452B9B"/>
    <w:rsid w:val="0045394A"/>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6052"/>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381B"/>
    <w:rsid w:val="004C43FD"/>
    <w:rsid w:val="004C44FB"/>
    <w:rsid w:val="004C4F85"/>
    <w:rsid w:val="004C53EA"/>
    <w:rsid w:val="004C7770"/>
    <w:rsid w:val="004D06CB"/>
    <w:rsid w:val="004D0907"/>
    <w:rsid w:val="004D0B85"/>
    <w:rsid w:val="004D1FA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52E"/>
    <w:rsid w:val="00536D50"/>
    <w:rsid w:val="00537C7C"/>
    <w:rsid w:val="00537EA0"/>
    <w:rsid w:val="005422C0"/>
    <w:rsid w:val="00544C5D"/>
    <w:rsid w:val="0054510D"/>
    <w:rsid w:val="00545AE2"/>
    <w:rsid w:val="005475C5"/>
    <w:rsid w:val="00550562"/>
    <w:rsid w:val="00553CC2"/>
    <w:rsid w:val="00554A59"/>
    <w:rsid w:val="00555B4A"/>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0F6A"/>
    <w:rsid w:val="005718AB"/>
    <w:rsid w:val="00572C51"/>
    <w:rsid w:val="00574AB5"/>
    <w:rsid w:val="00574DDA"/>
    <w:rsid w:val="0057558D"/>
    <w:rsid w:val="00576EB6"/>
    <w:rsid w:val="00580121"/>
    <w:rsid w:val="00580E02"/>
    <w:rsid w:val="00581906"/>
    <w:rsid w:val="00582241"/>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0A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1833"/>
    <w:rsid w:val="005C4073"/>
    <w:rsid w:val="005C4CE0"/>
    <w:rsid w:val="005C5BE1"/>
    <w:rsid w:val="005C6484"/>
    <w:rsid w:val="005C6CD5"/>
    <w:rsid w:val="005C7352"/>
    <w:rsid w:val="005C7C04"/>
    <w:rsid w:val="005C7CAB"/>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569"/>
    <w:rsid w:val="005E5946"/>
    <w:rsid w:val="005E5D74"/>
    <w:rsid w:val="005E5E4B"/>
    <w:rsid w:val="005E68AB"/>
    <w:rsid w:val="005E6B80"/>
    <w:rsid w:val="005E7EA5"/>
    <w:rsid w:val="005F134E"/>
    <w:rsid w:val="005F1C58"/>
    <w:rsid w:val="005F1E85"/>
    <w:rsid w:val="005F34CF"/>
    <w:rsid w:val="005F6E31"/>
    <w:rsid w:val="005F6F27"/>
    <w:rsid w:val="005F6F92"/>
    <w:rsid w:val="006003BF"/>
    <w:rsid w:val="0060083E"/>
    <w:rsid w:val="00601259"/>
    <w:rsid w:val="00601834"/>
    <w:rsid w:val="00602533"/>
    <w:rsid w:val="006026EB"/>
    <w:rsid w:val="00603CED"/>
    <w:rsid w:val="00604237"/>
    <w:rsid w:val="0060589A"/>
    <w:rsid w:val="0060678C"/>
    <w:rsid w:val="00606C73"/>
    <w:rsid w:val="006070DC"/>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5A76"/>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B96"/>
    <w:rsid w:val="00650D78"/>
    <w:rsid w:val="00651E09"/>
    <w:rsid w:val="00652119"/>
    <w:rsid w:val="006528E4"/>
    <w:rsid w:val="00652914"/>
    <w:rsid w:val="006531BA"/>
    <w:rsid w:val="006552B9"/>
    <w:rsid w:val="00656ECF"/>
    <w:rsid w:val="0066115D"/>
    <w:rsid w:val="0066299F"/>
    <w:rsid w:val="00662E3B"/>
    <w:rsid w:val="00664456"/>
    <w:rsid w:val="0066468E"/>
    <w:rsid w:val="00664700"/>
    <w:rsid w:val="00665891"/>
    <w:rsid w:val="00666474"/>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455A"/>
    <w:rsid w:val="006B63CA"/>
    <w:rsid w:val="006B74F2"/>
    <w:rsid w:val="006C114D"/>
    <w:rsid w:val="006C182D"/>
    <w:rsid w:val="006C215A"/>
    <w:rsid w:val="006C2523"/>
    <w:rsid w:val="006C36A8"/>
    <w:rsid w:val="006C5752"/>
    <w:rsid w:val="006C6824"/>
    <w:rsid w:val="006C7319"/>
    <w:rsid w:val="006D0276"/>
    <w:rsid w:val="006D0438"/>
    <w:rsid w:val="006D04E2"/>
    <w:rsid w:val="006D0F78"/>
    <w:rsid w:val="006D1413"/>
    <w:rsid w:val="006D1B9F"/>
    <w:rsid w:val="006D28B5"/>
    <w:rsid w:val="006D29D1"/>
    <w:rsid w:val="006D372A"/>
    <w:rsid w:val="006D53B8"/>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6803"/>
    <w:rsid w:val="006E72BF"/>
    <w:rsid w:val="006E7644"/>
    <w:rsid w:val="006F02DD"/>
    <w:rsid w:val="006F04A3"/>
    <w:rsid w:val="006F1403"/>
    <w:rsid w:val="006F1C2E"/>
    <w:rsid w:val="006F1D66"/>
    <w:rsid w:val="006F233F"/>
    <w:rsid w:val="006F276A"/>
    <w:rsid w:val="006F27A4"/>
    <w:rsid w:val="006F2A9C"/>
    <w:rsid w:val="006F394C"/>
    <w:rsid w:val="006F4A20"/>
    <w:rsid w:val="00700162"/>
    <w:rsid w:val="007029C3"/>
    <w:rsid w:val="00704FD6"/>
    <w:rsid w:val="00707518"/>
    <w:rsid w:val="00707A39"/>
    <w:rsid w:val="0071155F"/>
    <w:rsid w:val="0071222C"/>
    <w:rsid w:val="00712465"/>
    <w:rsid w:val="00712ACD"/>
    <w:rsid w:val="00712C8D"/>
    <w:rsid w:val="00713349"/>
    <w:rsid w:val="007148B1"/>
    <w:rsid w:val="0071546B"/>
    <w:rsid w:val="007168F6"/>
    <w:rsid w:val="00717778"/>
    <w:rsid w:val="00717875"/>
    <w:rsid w:val="00717EEF"/>
    <w:rsid w:val="00720219"/>
    <w:rsid w:val="007207B5"/>
    <w:rsid w:val="00721256"/>
    <w:rsid w:val="00721B09"/>
    <w:rsid w:val="00721FCC"/>
    <w:rsid w:val="0072231F"/>
    <w:rsid w:val="00722A03"/>
    <w:rsid w:val="00724259"/>
    <w:rsid w:val="00724453"/>
    <w:rsid w:val="00724D79"/>
    <w:rsid w:val="00724F48"/>
    <w:rsid w:val="00725161"/>
    <w:rsid w:val="007252E6"/>
    <w:rsid w:val="00725379"/>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16B"/>
    <w:rsid w:val="0075471C"/>
    <w:rsid w:val="00754919"/>
    <w:rsid w:val="00754CA6"/>
    <w:rsid w:val="007556FE"/>
    <w:rsid w:val="00756802"/>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19E"/>
    <w:rsid w:val="00792428"/>
    <w:rsid w:val="00792469"/>
    <w:rsid w:val="0079317C"/>
    <w:rsid w:val="007949B2"/>
    <w:rsid w:val="00795832"/>
    <w:rsid w:val="00796371"/>
    <w:rsid w:val="00796D20"/>
    <w:rsid w:val="00796F32"/>
    <w:rsid w:val="00797365"/>
    <w:rsid w:val="0079785E"/>
    <w:rsid w:val="007A009A"/>
    <w:rsid w:val="007A0A6D"/>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B7C2D"/>
    <w:rsid w:val="007C1ACC"/>
    <w:rsid w:val="007C324C"/>
    <w:rsid w:val="007C38B6"/>
    <w:rsid w:val="007C4780"/>
    <w:rsid w:val="007C53A9"/>
    <w:rsid w:val="007C53E7"/>
    <w:rsid w:val="007C5494"/>
    <w:rsid w:val="007C5EEC"/>
    <w:rsid w:val="007C67BB"/>
    <w:rsid w:val="007C7785"/>
    <w:rsid w:val="007D090E"/>
    <w:rsid w:val="007D0C6C"/>
    <w:rsid w:val="007D1494"/>
    <w:rsid w:val="007D1AA4"/>
    <w:rsid w:val="007D2649"/>
    <w:rsid w:val="007D3636"/>
    <w:rsid w:val="007D3C44"/>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E7631"/>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49AC"/>
    <w:rsid w:val="00805A17"/>
    <w:rsid w:val="00805AD4"/>
    <w:rsid w:val="00807191"/>
    <w:rsid w:val="00807969"/>
    <w:rsid w:val="00810E1A"/>
    <w:rsid w:val="00811E26"/>
    <w:rsid w:val="00811F5A"/>
    <w:rsid w:val="00812AC9"/>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3FE3"/>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3720"/>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57D6C"/>
    <w:rsid w:val="00862A99"/>
    <w:rsid w:val="00865FB7"/>
    <w:rsid w:val="0086673B"/>
    <w:rsid w:val="008703FE"/>
    <w:rsid w:val="00870958"/>
    <w:rsid w:val="00870C96"/>
    <w:rsid w:val="00872940"/>
    <w:rsid w:val="00872D89"/>
    <w:rsid w:val="008730BF"/>
    <w:rsid w:val="00873681"/>
    <w:rsid w:val="00873916"/>
    <w:rsid w:val="00874694"/>
    <w:rsid w:val="00875F5C"/>
    <w:rsid w:val="00876842"/>
    <w:rsid w:val="0087791F"/>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632"/>
    <w:rsid w:val="00896BFA"/>
    <w:rsid w:val="008979D0"/>
    <w:rsid w:val="008A1882"/>
    <w:rsid w:val="008A4730"/>
    <w:rsid w:val="008A4A93"/>
    <w:rsid w:val="008A4C1D"/>
    <w:rsid w:val="008A511A"/>
    <w:rsid w:val="008A647F"/>
    <w:rsid w:val="008A64C3"/>
    <w:rsid w:val="008A7B13"/>
    <w:rsid w:val="008B0951"/>
    <w:rsid w:val="008B16CF"/>
    <w:rsid w:val="008B1B4D"/>
    <w:rsid w:val="008B1C10"/>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6FFE"/>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1B3E"/>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4150"/>
    <w:rsid w:val="0097558C"/>
    <w:rsid w:val="009758CA"/>
    <w:rsid w:val="009770B5"/>
    <w:rsid w:val="009774C3"/>
    <w:rsid w:val="009811E3"/>
    <w:rsid w:val="009818C1"/>
    <w:rsid w:val="009826BD"/>
    <w:rsid w:val="0098380F"/>
    <w:rsid w:val="00984B3A"/>
    <w:rsid w:val="00984E97"/>
    <w:rsid w:val="009854A5"/>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3B5"/>
    <w:rsid w:val="009A45E3"/>
    <w:rsid w:val="009A5C8E"/>
    <w:rsid w:val="009A6292"/>
    <w:rsid w:val="009B0AEB"/>
    <w:rsid w:val="009B0B0E"/>
    <w:rsid w:val="009B1C90"/>
    <w:rsid w:val="009B1FB6"/>
    <w:rsid w:val="009B27F0"/>
    <w:rsid w:val="009B29D1"/>
    <w:rsid w:val="009B5ACC"/>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1CD"/>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17286"/>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06F"/>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158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7E0"/>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25C4"/>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5C1F"/>
    <w:rsid w:val="00B260F2"/>
    <w:rsid w:val="00B265AC"/>
    <w:rsid w:val="00B26812"/>
    <w:rsid w:val="00B31964"/>
    <w:rsid w:val="00B31E60"/>
    <w:rsid w:val="00B3285A"/>
    <w:rsid w:val="00B33F2E"/>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654"/>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043C"/>
    <w:rsid w:val="00B9129D"/>
    <w:rsid w:val="00B91B2F"/>
    <w:rsid w:val="00B92D80"/>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36D8"/>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083"/>
    <w:rsid w:val="00BD5D86"/>
    <w:rsid w:val="00BD69E6"/>
    <w:rsid w:val="00BD713F"/>
    <w:rsid w:val="00BD72AD"/>
    <w:rsid w:val="00BD7E85"/>
    <w:rsid w:val="00BE053B"/>
    <w:rsid w:val="00BE0D82"/>
    <w:rsid w:val="00BE1148"/>
    <w:rsid w:val="00BE15E9"/>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4F6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2EA2"/>
    <w:rsid w:val="00C334A4"/>
    <w:rsid w:val="00C336D6"/>
    <w:rsid w:val="00C33BB6"/>
    <w:rsid w:val="00C35B94"/>
    <w:rsid w:val="00C360D1"/>
    <w:rsid w:val="00C36787"/>
    <w:rsid w:val="00C36E66"/>
    <w:rsid w:val="00C37D1C"/>
    <w:rsid w:val="00C4013A"/>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2E8"/>
    <w:rsid w:val="00C55CD8"/>
    <w:rsid w:val="00C62041"/>
    <w:rsid w:val="00C62755"/>
    <w:rsid w:val="00C63669"/>
    <w:rsid w:val="00C63F53"/>
    <w:rsid w:val="00C64682"/>
    <w:rsid w:val="00C64904"/>
    <w:rsid w:val="00C65182"/>
    <w:rsid w:val="00C65D98"/>
    <w:rsid w:val="00C661FF"/>
    <w:rsid w:val="00C664EA"/>
    <w:rsid w:val="00C668E6"/>
    <w:rsid w:val="00C6695D"/>
    <w:rsid w:val="00C669C1"/>
    <w:rsid w:val="00C67248"/>
    <w:rsid w:val="00C67CBF"/>
    <w:rsid w:val="00C7070D"/>
    <w:rsid w:val="00C71A0F"/>
    <w:rsid w:val="00C74621"/>
    <w:rsid w:val="00C76694"/>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3DD4"/>
    <w:rsid w:val="00C94A1E"/>
    <w:rsid w:val="00C94D27"/>
    <w:rsid w:val="00C9545D"/>
    <w:rsid w:val="00C95639"/>
    <w:rsid w:val="00C967C4"/>
    <w:rsid w:val="00C97A63"/>
    <w:rsid w:val="00CA447D"/>
    <w:rsid w:val="00CA4C14"/>
    <w:rsid w:val="00CA5E0C"/>
    <w:rsid w:val="00CA5E8F"/>
    <w:rsid w:val="00CA5FF3"/>
    <w:rsid w:val="00CA6409"/>
    <w:rsid w:val="00CA6B13"/>
    <w:rsid w:val="00CA7EA8"/>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14"/>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3F29"/>
    <w:rsid w:val="00D04DFC"/>
    <w:rsid w:val="00D05196"/>
    <w:rsid w:val="00D07AFE"/>
    <w:rsid w:val="00D11DF9"/>
    <w:rsid w:val="00D121F4"/>
    <w:rsid w:val="00D12288"/>
    <w:rsid w:val="00D124FD"/>
    <w:rsid w:val="00D125FA"/>
    <w:rsid w:val="00D12D10"/>
    <w:rsid w:val="00D15E3E"/>
    <w:rsid w:val="00D16143"/>
    <w:rsid w:val="00D16C86"/>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1AF6"/>
    <w:rsid w:val="00D63E61"/>
    <w:rsid w:val="00D64031"/>
    <w:rsid w:val="00D64079"/>
    <w:rsid w:val="00D641A4"/>
    <w:rsid w:val="00D64781"/>
    <w:rsid w:val="00D6614C"/>
    <w:rsid w:val="00D6662B"/>
    <w:rsid w:val="00D67151"/>
    <w:rsid w:val="00D67DC3"/>
    <w:rsid w:val="00D67ED8"/>
    <w:rsid w:val="00D67FD6"/>
    <w:rsid w:val="00D70636"/>
    <w:rsid w:val="00D706D3"/>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19B3"/>
    <w:rsid w:val="00DB24C8"/>
    <w:rsid w:val="00DB24DA"/>
    <w:rsid w:val="00DB352B"/>
    <w:rsid w:val="00DB3A18"/>
    <w:rsid w:val="00DB495F"/>
    <w:rsid w:val="00DB6552"/>
    <w:rsid w:val="00DB6E61"/>
    <w:rsid w:val="00DB71A9"/>
    <w:rsid w:val="00DB797B"/>
    <w:rsid w:val="00DC08A1"/>
    <w:rsid w:val="00DC2585"/>
    <w:rsid w:val="00DC2711"/>
    <w:rsid w:val="00DC44AC"/>
    <w:rsid w:val="00DC4FE9"/>
    <w:rsid w:val="00DC5B67"/>
    <w:rsid w:val="00DC676C"/>
    <w:rsid w:val="00DD176D"/>
    <w:rsid w:val="00DD1ABE"/>
    <w:rsid w:val="00DD2250"/>
    <w:rsid w:val="00DD2D90"/>
    <w:rsid w:val="00DD2E8C"/>
    <w:rsid w:val="00DD304E"/>
    <w:rsid w:val="00DD4BA2"/>
    <w:rsid w:val="00DD5BED"/>
    <w:rsid w:val="00DD63BE"/>
    <w:rsid w:val="00DD667E"/>
    <w:rsid w:val="00DD6830"/>
    <w:rsid w:val="00DD6AA8"/>
    <w:rsid w:val="00DD6B06"/>
    <w:rsid w:val="00DD718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627"/>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4F7"/>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86741"/>
    <w:rsid w:val="00E904C1"/>
    <w:rsid w:val="00E90C70"/>
    <w:rsid w:val="00E90CA6"/>
    <w:rsid w:val="00E90D56"/>
    <w:rsid w:val="00E91451"/>
    <w:rsid w:val="00E91847"/>
    <w:rsid w:val="00E91CAF"/>
    <w:rsid w:val="00E92CBB"/>
    <w:rsid w:val="00E94D05"/>
    <w:rsid w:val="00E95049"/>
    <w:rsid w:val="00E951CF"/>
    <w:rsid w:val="00E9597A"/>
    <w:rsid w:val="00E962B5"/>
    <w:rsid w:val="00E96AC2"/>
    <w:rsid w:val="00E96E34"/>
    <w:rsid w:val="00E972EF"/>
    <w:rsid w:val="00E9745A"/>
    <w:rsid w:val="00E97699"/>
    <w:rsid w:val="00EA016C"/>
    <w:rsid w:val="00EA2341"/>
    <w:rsid w:val="00EA2B2B"/>
    <w:rsid w:val="00EA2DAC"/>
    <w:rsid w:val="00EA2F1A"/>
    <w:rsid w:val="00EA3AE1"/>
    <w:rsid w:val="00EA3CCC"/>
    <w:rsid w:val="00EA4857"/>
    <w:rsid w:val="00EA51AA"/>
    <w:rsid w:val="00EA6B07"/>
    <w:rsid w:val="00EB0EC8"/>
    <w:rsid w:val="00EB1202"/>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249"/>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1D24"/>
    <w:rsid w:val="00EF2343"/>
    <w:rsid w:val="00EF303B"/>
    <w:rsid w:val="00EF3983"/>
    <w:rsid w:val="00EF5E1A"/>
    <w:rsid w:val="00EF63CB"/>
    <w:rsid w:val="00EF688A"/>
    <w:rsid w:val="00EF7C18"/>
    <w:rsid w:val="00F00B12"/>
    <w:rsid w:val="00F01331"/>
    <w:rsid w:val="00F029F2"/>
    <w:rsid w:val="00F03724"/>
    <w:rsid w:val="00F04D5E"/>
    <w:rsid w:val="00F04E28"/>
    <w:rsid w:val="00F05D8F"/>
    <w:rsid w:val="00F06489"/>
    <w:rsid w:val="00F07753"/>
    <w:rsid w:val="00F10A42"/>
    <w:rsid w:val="00F10C2E"/>
    <w:rsid w:val="00F11372"/>
    <w:rsid w:val="00F11866"/>
    <w:rsid w:val="00F123F9"/>
    <w:rsid w:val="00F1383C"/>
    <w:rsid w:val="00F141D7"/>
    <w:rsid w:val="00F1462C"/>
    <w:rsid w:val="00F14743"/>
    <w:rsid w:val="00F1497E"/>
    <w:rsid w:val="00F15261"/>
    <w:rsid w:val="00F15597"/>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15"/>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4D7B"/>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77471"/>
    <w:rsid w:val="00F80607"/>
    <w:rsid w:val="00F807A7"/>
    <w:rsid w:val="00F807EA"/>
    <w:rsid w:val="00F8156B"/>
    <w:rsid w:val="00F824E6"/>
    <w:rsid w:val="00F8314C"/>
    <w:rsid w:val="00F83835"/>
    <w:rsid w:val="00F851C3"/>
    <w:rsid w:val="00F85BD4"/>
    <w:rsid w:val="00F85C48"/>
    <w:rsid w:val="00F86510"/>
    <w:rsid w:val="00F875E7"/>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25C9"/>
    <w:rsid w:val="00FB2D68"/>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D6866"/>
    <w:rsid w:val="00FE0347"/>
    <w:rsid w:val="00FE1D5A"/>
    <w:rsid w:val="00FE24A9"/>
    <w:rsid w:val="00FE3E3F"/>
    <w:rsid w:val="00FE434A"/>
    <w:rsid w:val="00FE4DC8"/>
    <w:rsid w:val="00FE5A6B"/>
    <w:rsid w:val="00FE5B9E"/>
    <w:rsid w:val="00FE683D"/>
    <w:rsid w:val="00FE736E"/>
    <w:rsid w:val="00FF158B"/>
    <w:rsid w:val="00FF7252"/>
    <w:rsid w:val="00FF78CA"/>
    <w:rsid w:val="7EA16D90"/>
    <w:rsid w:val="7F5C3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Revision"/>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character" w:customStyle="1" w:styleId="77">
    <w:name w:val="fontstyle01"/>
    <w:basedOn w:val="24"/>
    <w:qFormat/>
    <w:uiPriority w:val="0"/>
    <w:rPr>
      <w:rFonts w:hint="eastAsia" w:ascii="TimesNewRomanPSMT" w:eastAsia="TimesNewRomanPSMT"/>
      <w:color w:val="000000"/>
      <w:sz w:val="20"/>
      <w:szCs w:val="20"/>
    </w:rPr>
  </w:style>
  <w:style w:type="character" w:customStyle="1" w:styleId="78">
    <w:name w:val="fontstyle21"/>
    <w:basedOn w:val="24"/>
    <w:qFormat/>
    <w:uiPriority w:val="0"/>
    <w:rPr>
      <w:rFonts w:hint="default" w:ascii="Times-Italic" w:hAnsi="Times-Italic"/>
      <w:i/>
      <w:iCs/>
      <w:color w:val="000000"/>
      <w:sz w:val="20"/>
      <w:szCs w:val="20"/>
    </w:rPr>
  </w:style>
  <w:style w:type="paragraph" w:customStyle="1" w:styleId="79">
    <w:name w:val="列表段落2"/>
    <w:basedOn w:val="1"/>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character" w:customStyle="1" w:styleId="80">
    <w:name w:val="WW8Num11z7"/>
    <w:qFormat/>
    <w:uiPriority w:val="0"/>
  </w:style>
  <w:style w:type="paragraph" w:customStyle="1" w:styleId="81">
    <w:name w:val="proposal text"/>
    <w:basedOn w:val="1"/>
    <w:qFormat/>
    <w:uiPriority w:val="0"/>
    <w:pPr>
      <w:spacing w:after="180"/>
    </w:pPr>
    <w:rPr>
      <w:rFonts w:ascii="Times New Roman" w:hAnsi="Times New Roman" w:eastAsia="宋体"/>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D7D83-BC87-0D46-86D1-120101BF83D1}">
  <ds:schemaRefs/>
</ds:datastoreItem>
</file>

<file path=docProps/app.xml><?xml version="1.0" encoding="utf-8"?>
<Properties xmlns="http://schemas.openxmlformats.org/officeDocument/2006/extended-properties" xmlns:vt="http://schemas.openxmlformats.org/officeDocument/2006/docPropsVTypes">
  <Template>Normal.dotm</Template>
  <Company>Liuliang</Company>
  <Pages>5</Pages>
  <Words>2069</Words>
  <Characters>11796</Characters>
  <Lines>98</Lines>
  <Paragraphs>27</Paragraphs>
  <TotalTime>19</TotalTime>
  <ScaleCrop>false</ScaleCrop>
  <LinksUpToDate>false</LinksUpToDate>
  <CharactersWithSpaces>13838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2023-05-11T18:11:00Z</dcterms:created>
  <dc:creator>CMCC</dc:creator>
  <cp:lastModifiedBy>cmcc</cp:lastModifiedBy>
  <dcterms:modified xsi:type="dcterms:W3CDTF">2023-05-12T06:21:24Z</dcterms:modified>
  <dc:title>3GPP TSG-RAN WG3 Meeting #96bis NR Adhoc</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